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spacing w:before="120" w:beforeAutospacing="0" w:after="120" w:afterAutospacing="0" w:line="360" w:lineRule="auto"/>
        <w:rPr>
          <w:color w:val="auto"/>
          <w:highlight w:val="none"/>
        </w:rPr>
      </w:pPr>
      <w:r>
        <w:rPr>
          <w:highlight w:val="none"/>
        </w:rPr>
        <w:t xml:space="preserve"> </w:t>
      </w:r>
      <w:r/>
    </w:p>
    <w:p>
      <w:pPr>
        <w:pStyle w:val="64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4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4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5"/>
        <w:ind w:firstLine="964"/>
        <w:spacing w:before="120" w:beforeAutospacing="0" w:after="120" w:afterAutospacing="0" w:line="360" w:lineRule="auto"/>
        <w:rPr>
          <w:rFonts w:hint="eastAsia" w:eastAsiaTheme="minorEastAsia"/>
          <w:color w:val="auto"/>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盐城市东台生态环境局东台河美丽河湖优秀案例申报项目（东台河美丽河湖建设成效评估）</w:t>
      </w:r>
      <w:r/>
    </w:p>
    <w:p>
      <w:pPr>
        <w:pStyle w:val="645"/>
        <w:ind w:firstLine="964"/>
        <w:jc w:val="both"/>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JSZC-320981-JSRJ-G2025-0031</w:t>
      </w:r>
      <w:r/>
    </w:p>
    <w:p>
      <w:pPr>
        <w:pStyle w:val="645"/>
        <w:spacing w:beforeAutospacing="0" w:afterAutospacing="0" w:line="360" w:lineRule="auto"/>
        <w:rPr>
          <w:color w:val="auto"/>
          <w:highlight w:val="none"/>
        </w:rPr>
      </w:pPr>
      <w:r>
        <w:rPr>
          <w:color w:val="auto"/>
          <w:highlight w:val="none"/>
        </w:rPr>
        <w:t xml:space="preserve"> </w:t>
      </w:r>
      <w:r/>
    </w:p>
    <w:p>
      <w:pPr>
        <w:pStyle w:val="645"/>
        <w:spacing w:beforeAutospacing="0" w:afterAutospacing="0" w:line="360" w:lineRule="auto"/>
        <w:rPr>
          <w:color w:val="auto"/>
          <w:highlight w:val="none"/>
        </w:rPr>
      </w:pPr>
      <w:r>
        <w:rPr>
          <w:color w:val="auto"/>
          <w:highlight w:val="none"/>
        </w:rPr>
        <w:t xml:space="preserve"> </w:t>
      </w:r>
      <w:r/>
    </w:p>
    <w:p>
      <w:pPr>
        <w:pStyle w:val="645"/>
        <w:spacing w:beforeAutospacing="0" w:afterAutospacing="0" w:line="360" w:lineRule="auto"/>
        <w:rPr>
          <w:color w:val="auto"/>
          <w:highlight w:val="none"/>
        </w:rPr>
      </w:pPr>
      <w:r>
        <w:rPr>
          <w:color w:val="auto"/>
          <w:highlight w:val="none"/>
        </w:rPr>
        <w:t xml:space="preserve"> </w:t>
      </w:r>
      <w:r/>
    </w:p>
    <w:p>
      <w:pPr>
        <w:pStyle w:val="645"/>
        <w:spacing w:beforeAutospacing="0" w:afterAutospacing="0" w:line="360" w:lineRule="auto"/>
        <w:rPr>
          <w:color w:val="auto"/>
          <w:highlight w:val="none"/>
        </w:rPr>
      </w:pPr>
      <w:r>
        <w:rPr>
          <w:color w:val="auto"/>
          <w:highlight w:val="none"/>
        </w:rPr>
        <w:t xml:space="preserve"> </w:t>
      </w:r>
      <w:r/>
    </w:p>
    <w:p>
      <w:pPr>
        <w:pStyle w:val="645"/>
        <w:spacing w:beforeAutospacing="0" w:afterAutospacing="0" w:line="360" w:lineRule="auto"/>
        <w:rPr>
          <w:color w:val="auto"/>
          <w:highlight w:val="none"/>
        </w:rPr>
      </w:pPr>
      <w:r>
        <w:rPr>
          <w:color w:val="auto"/>
          <w:highlight w:val="none"/>
        </w:rPr>
      </w:r>
      <w:r/>
    </w:p>
    <w:p>
      <w:pPr>
        <w:pStyle w:val="645"/>
        <w:spacing w:beforeAutospacing="0" w:afterAutospacing="0" w:line="360" w:lineRule="auto"/>
        <w:rPr>
          <w:color w:val="auto"/>
          <w:highlight w:val="none"/>
        </w:rPr>
      </w:pPr>
      <w:r>
        <w:rPr>
          <w:color w:val="auto"/>
          <w:highlight w:val="none"/>
        </w:rPr>
      </w:r>
      <w:r/>
    </w:p>
    <w:p>
      <w:pPr>
        <w:pStyle w:val="645"/>
        <w:spacing w:beforeAutospacing="0" w:afterAutospacing="0" w:line="360" w:lineRule="auto"/>
        <w:rPr>
          <w:color w:val="auto"/>
          <w:highlight w:val="none"/>
        </w:rPr>
      </w:pPr>
      <w:r>
        <w:rPr>
          <w:color w:val="auto"/>
          <w:highlight w:val="none"/>
        </w:rPr>
        <w:t xml:space="preserve"> </w:t>
      </w:r>
      <w:r/>
    </w:p>
    <w:p>
      <w:pPr>
        <w:pStyle w:val="645"/>
        <w:spacing w:beforeAutospacing="0" w:afterAutospacing="0" w:line="360" w:lineRule="auto"/>
        <w:rPr>
          <w:color w:val="auto"/>
          <w:highlight w:val="none"/>
        </w:rPr>
      </w:pPr>
      <w:r>
        <w:rPr>
          <w:color w:val="auto"/>
          <w:highlight w:val="none"/>
        </w:rPr>
        <w:t xml:space="preserve"> </w:t>
      </w:r>
      <w:r/>
    </w:p>
    <w:p>
      <w:pPr>
        <w:pStyle w:val="645"/>
        <w:spacing w:beforeAutospacing="0" w:afterAutospacing="0" w:line="360" w:lineRule="auto"/>
        <w:rPr>
          <w:color w:val="auto"/>
          <w:highlight w:val="none"/>
        </w:rPr>
      </w:pPr>
      <w:r>
        <w:rPr>
          <w:color w:val="auto"/>
          <w:highlight w:val="none"/>
        </w:rPr>
        <w:t xml:space="preserve"> </w:t>
      </w:r>
      <w:r/>
    </w:p>
    <w:p>
      <w:pPr>
        <w:pStyle w:val="645"/>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盐城市东台生态环境局</w:t>
      </w:r>
      <w:r/>
    </w:p>
    <w:p>
      <w:pPr>
        <w:pStyle w:val="645"/>
        <w:jc w:val="center"/>
        <w:spacing w:before="120" w:beforeAutospacing="0" w:after="120" w:afterAutospacing="0" w:line="360" w:lineRule="auto"/>
        <w:rPr>
          <w:highlight w:val="none"/>
        </w:rPr>
      </w:pPr>
      <w:r>
        <w:rPr>
          <w:rFonts w:hint="eastAsia" w:ascii="宋体" w:hAnsi="宋体" w:eastAsia="宋体" w:cs="宋体"/>
          <w:b/>
          <w:color w:val="auto"/>
          <w:sz w:val="32"/>
          <w:szCs w:val="32"/>
          <w:highlight w:val="none"/>
          <w:lang w:val="en-US" w:eastAsia="zh-CN"/>
        </w:rPr>
        <w:t xml:space="preserve">2025</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11</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04</w:t>
      </w:r>
      <w:r>
        <w:rPr>
          <w:rFonts w:hint="eastAsia" w:ascii="宋体" w:hAnsi="宋体" w:eastAsia="宋体" w:cs="宋体"/>
          <w:b/>
          <w:color w:val="auto"/>
          <w:sz w:val="32"/>
          <w:szCs w:val="32"/>
          <w:highlight w:val="none"/>
        </w:rPr>
        <w:t xml:space="preserve">日</w:t>
      </w:r>
      <w:r/>
    </w:p>
    <w:p>
      <w:pPr>
        <w:pStyle w:val="645"/>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bookmarkStart w:id="0" w:name="_Toc16938516"/>
      <w:r/>
      <w:bookmarkStart w:id="1" w:name="_Toc513029200"/>
      <w:r/>
      <w:bookmarkStart w:id="2" w:name="_Toc120614210"/>
      <w:r/>
      <w:bookmarkStart w:id="3" w:name="_Toc20823272"/>
      <w:r/>
      <w:bookmarkStart w:id="4" w:name="_Toc479757206"/>
      <w:r/>
      <w:bookmarkStart w:id="5" w:name="_Toc523127445"/>
      <w:r/>
      <w:r/>
    </w:p>
    <w:p>
      <w:pPr>
        <w:pStyle w:val="645"/>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645"/>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45"/>
        <w:ind w:left="0" w:firstLine="108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pStyle w:val="645"/>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01</w:t>
      </w:r>
      <w:r/>
    </w:p>
    <w:p>
      <w:pPr>
        <w:pStyle w:val="645"/>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05</w:t>
      </w:r>
      <w:r/>
    </w:p>
    <w:p>
      <w:pPr>
        <w:pStyle w:val="645"/>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20</w:t>
      </w:r>
      <w:r/>
    </w:p>
    <w:p>
      <w:pPr>
        <w:pStyle w:val="645"/>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26</w:t>
      </w:r>
      <w:r/>
    </w:p>
    <w:p>
      <w:pPr>
        <w:pStyle w:val="645"/>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31</w:t>
      </w:r>
      <w:r/>
    </w:p>
    <w:p>
      <w:pPr>
        <w:pStyle w:val="645"/>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35</w:t>
      </w:r>
      <w:r/>
    </w:p>
    <w:p>
      <w:pPr>
        <w:pStyle w:val="645"/>
        <w:jc w:val="both"/>
        <w:spacing w:beforeAutospacing="0" w:afterAutospacing="0"/>
        <w:rPr>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highlight w:val="none"/>
        </w:rPr>
      </w:r>
      <w:r/>
    </w:p>
    <w:p>
      <w:pPr>
        <w:pStyle w:val="645"/>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45"/>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盐城市东台生态环境局东台河美丽河湖优秀案例申报项目（东台河美丽河湖建设成效评估）</w:t>
      </w:r>
      <w:r>
        <w:rPr>
          <w:rFonts w:hint="eastAsia" w:ascii="宋体" w:hAnsi="宋体" w:eastAsia="宋体" w:cs="宋体"/>
          <w:color w:val="auto"/>
          <w:sz w:val="24"/>
          <w:szCs w:val="24"/>
          <w:highlight w:val="none"/>
          <w:u w:val="single"/>
          <w:lang w:val="en-US" w:eastAsia="zh-CN"/>
        </w:rPr>
        <w:t xml:space="preserve"> JSZC-320981-JSRJ-G2025-0031</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eastAsia="zh-CN"/>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26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645"/>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 w:name="_Toc28359002"/>
      <w:r/>
      <w:bookmarkStart w:id="7" w:name="_Toc35393621"/>
      <w:r/>
      <w:bookmarkStart w:id="8" w:name="_Toc35393790"/>
      <w:r/>
      <w:bookmarkStart w:id="9" w:name="_Toc38985263"/>
      <w:r/>
      <w:bookmarkStart w:id="10" w:name="_Hlk24379207"/>
      <w:r/>
      <w:bookmarkStart w:id="11" w:name="_Toc28359079"/>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JSZC-320981-JSRJ-G2025-0031</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盐城市东台生态环境局东台河美丽河湖优秀案例申报项目（东台河美丽河湖建设成效评估）</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150.000000万元</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最高限价（如有）：</w:t>
      </w:r>
      <w:r>
        <w:rPr>
          <w:rFonts w:hint="eastAsia" w:ascii="宋体" w:hAnsi="宋体" w:eastAsia="宋体" w:cs="宋体"/>
          <w:color w:val="000000"/>
          <w:sz w:val="24"/>
          <w:szCs w:val="24"/>
          <w:highlight w:val="none"/>
          <w:lang w:val="en-US" w:eastAsia="zh-CN"/>
        </w:rPr>
        <w:t xml:space="preserve">人民币150万元，投标报价高于最高限价的作无效投标处理</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完成东台河美丽河湖建设成效评估工作以及优秀案例申报材料编制</w:t>
      </w:r>
      <w:r>
        <w:rPr>
          <w:rFonts w:hint="eastAsia" w:ascii="宋体" w:hAnsi="宋体" w:eastAsia="宋体" w:cs="宋体"/>
          <w:color w:val="000000"/>
          <w:sz w:val="24"/>
          <w:szCs w:val="24"/>
          <w:highlight w:val="none"/>
        </w:rPr>
        <w:t xml:space="preserve">。（详细内容见本招标文件第四章）</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自合同签订之日起至2026年6月30日止</w:t>
      </w:r>
      <w:r/>
    </w:p>
    <w:p>
      <w:pPr>
        <w:pStyle w:val="645"/>
        <w:ind w:firstLine="480"/>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本项目（是/否）接受联合体投标：否</w:t>
      </w:r>
      <w:r/>
    </w:p>
    <w:p>
      <w:pPr>
        <w:pStyle w:val="645"/>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2" w:name="_Toc35393791"/>
      <w:r/>
      <w:bookmarkStart w:id="13" w:name="_Toc28359003"/>
      <w:r/>
      <w:bookmarkStart w:id="14" w:name="_Toc38985264"/>
      <w:r/>
      <w:bookmarkStart w:id="15" w:name="_Toc35393622"/>
      <w:r/>
      <w:bookmarkStart w:id="16" w:name="_Toc28359080"/>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法人或者其他组织的营业执照等证明文件，自然人的身份证明</w:t>
      </w:r>
      <w:r>
        <w:rPr>
          <w:rFonts w:hint="eastAsia" w:ascii="宋体" w:hAnsi="宋体" w:eastAsia="宋体" w:cs="宋体"/>
          <w:color w:val="000000"/>
          <w:sz w:val="24"/>
          <w:szCs w:val="24"/>
          <w:highlight w:val="none"/>
        </w:rPr>
        <w:t xml:space="preserve">。</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highlight w:val="none"/>
        </w:rPr>
        <w:t xml:space="preserve">。</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具备履行合同所必需的设备和专业技术能力的书面声明</w:t>
      </w:r>
      <w:r>
        <w:rPr>
          <w:rFonts w:hint="eastAsia" w:ascii="宋体" w:hAnsi="宋体" w:eastAsia="宋体" w:cs="宋体"/>
          <w:color w:val="000000"/>
          <w:sz w:val="24"/>
          <w:szCs w:val="24"/>
          <w:highlight w:val="none"/>
        </w:rPr>
        <w:t xml:space="preserve">。</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参加政府采购活动前3年内在经营活动中没有重大违法记录的书面声明</w:t>
      </w:r>
      <w:r>
        <w:rPr>
          <w:rFonts w:hint="eastAsia" w:ascii="宋体" w:hAnsi="宋体" w:eastAsia="宋体" w:cs="宋体"/>
          <w:color w:val="000000"/>
          <w:sz w:val="24"/>
          <w:szCs w:val="24"/>
          <w:highlight w:val="none"/>
        </w:rPr>
        <w:t xml:space="preserve">。</w:t>
      </w:r>
      <w:r/>
    </w:p>
    <w:p>
      <w:pPr>
        <w:pStyle w:val="64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rPr>
        <w:t xml:space="preserve">无。</w:t>
      </w:r>
      <w:r/>
    </w:p>
    <w:p>
      <w:pPr>
        <w:pStyle w:val="645"/>
        <w:ind w:firstLine="480"/>
        <w:jc w:val="left"/>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pStyle w:val="645"/>
        <w:ind w:firstLine="480"/>
        <w:jc w:val="lef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45"/>
        <w:ind w:firstLine="480"/>
        <w:jc w:val="lef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2.单位负责人为同一人或者存在直接控股、管理关系的不同供应商，不得参加同一合同项下的政府采购活动。</w:t>
      </w:r>
      <w:r/>
    </w:p>
    <w:p>
      <w:pPr>
        <w:pStyle w:val="645"/>
        <w:ind w:firstLine="480"/>
        <w:jc w:val="left"/>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3.投标人如委托被授权人参与，则被授权人须为本单位正式职工并提供投标人为被授权人缴纳的社会养老保险证明。</w:t>
      </w:r>
      <w:r/>
    </w:p>
    <w:p>
      <w:pPr>
        <w:pStyle w:val="645"/>
        <w:ind w:firstLine="480"/>
        <w:jc w:val="lef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4.法律、行政法规规定的其他条件。</w:t>
      </w:r>
      <w:r/>
    </w:p>
    <w:p>
      <w:pPr>
        <w:pStyle w:val="645"/>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bookmarkStart w:id="17" w:name="_Toc28359082"/>
      <w:r/>
      <w:bookmarkStart w:id="18" w:name="_Toc35393624"/>
      <w:r/>
      <w:bookmarkStart w:id="19" w:name="_Toc38985266"/>
      <w:r/>
      <w:bookmarkStart w:id="20" w:name="_Toc28359005"/>
      <w:r/>
      <w:bookmarkStart w:id="21" w:name="_Toc35393793"/>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地点：“苏采云”系统内免费下载（投标人必须在苏采云系统中获取采购文件，方能参与政府采购项目）</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方式：本项目采用网上注册登记方式</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售价：0元</w:t>
      </w:r>
      <w:r/>
    </w:p>
    <w:p>
      <w:pPr>
        <w:pStyle w:val="645"/>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2" w:name="_Toc38985267"/>
      <w:r/>
      <w:bookmarkStart w:id="23" w:name="_Toc35393625"/>
      <w:r/>
      <w:bookmarkStart w:id="24" w:name="_Toc28359007"/>
      <w:r/>
      <w:bookmarkStart w:id="25" w:name="_Toc28359084"/>
      <w:r/>
      <w:bookmarkStart w:id="26" w:name="_Toc35393794"/>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26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rPr>
        <w:t xml:space="preserve">:00 （北京时间）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地点：苏采云“不见面”开标大厅</w:t>
      </w:r>
      <w:r>
        <w:rPr>
          <w:rFonts w:hint="eastAsia" w:ascii="宋体" w:hAnsi="宋体" w:eastAsia="宋体" w:cs="宋体"/>
          <w:color w:val="auto"/>
          <w:sz w:val="24"/>
          <w:szCs w:val="24"/>
          <w:highlight w:val="none"/>
          <w:lang w:eastAsia="zh-CN"/>
        </w:rPr>
        <w:t xml:space="preserve">。</w:t>
      </w:r>
      <w:r/>
    </w:p>
    <w:p>
      <w:pPr>
        <w:pStyle w:val="645"/>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5393626"/>
      <w:r/>
      <w:bookmarkStart w:id="29"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45"/>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2.潜在供应商访问电子招标响应交易平台的网络地址和方法：</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2.2潜在投标人访问“苏采云”系统方法：江苏省政府采购网首页-“苏采云”链接。</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2.3采购文件（后缀名为“.kedt”）、供应商操作手册及政府采购客户端 工具可通过“苏采云”系统相应链接进行下载。</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2.4采购代理机构将数据电文形式的采购文件加载至“苏采云”系统，供潜在供应商下载或者查阅。</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3.有关本次招标的事项若存在变动或修改，敬请及时关注江苏瑞杰项目管理顾问有限公司在“中国政府采购网”“江苏政府采购网”“盐城市政府采购网”发布的更正公告。</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5.投标人不得提供虚假材料谋取中标成交的或采取不正当手段诋毁、排挤其他供应商。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6.投标人存在串通投标、以他人名义投标、弄虚作假等违法违规行为，或者无正当理由放弃投标、中标资格，造成项目招标失败的，不得参加该项目重新招标的投标。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7.因供应商的系统环境、操作等原因导致项目参与、开评标过程中出现问题由供应商自行承担负责。</w:t>
      </w:r>
      <w:r/>
    </w:p>
    <w:p>
      <w:pPr>
        <w:pStyle w:val="636"/>
        <w:ind w:left="0" w:right="0"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highlight w:val="none"/>
          <w:u w:val="none"/>
          <w:shd w:val="clear" w:color="auto" w:fill="ffffff"/>
        </w:rPr>
        <w:t xml:space="preserve">提出询问，请按以下方式联系。</w:t>
      </w:r>
      <w:bookmarkEnd w:id="30"/>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单位名称：盐城市东台生态环境局</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单位地址：东台市金海东路1号</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人：顾女士</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联系电话：13815598529</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2.采购代理机构信息（如有）</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单位名称：江苏瑞杰项目管理顾问有限公司</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单位地址：盐城市金航财富大厦3AF</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人：朱先生</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联系电话：18932281510</w:t>
      </w:r>
      <w:bookmarkEnd w:id="32"/>
      <w:r/>
      <w:bookmarkEnd w:id="33"/>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项目联系人：朱先生</w:t>
      </w:r>
      <w:r/>
    </w:p>
    <w:p>
      <w:pPr>
        <w:pStyle w:val="645"/>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话：18932281510</w:t>
      </w:r>
      <w:r/>
    </w:p>
    <w:p>
      <w:pPr>
        <w:rPr>
          <w:rFonts w:hint="eastAsia" w:ascii="黑体" w:hAnsi="宋体" w:eastAsia="黑体" w:cs="黑体"/>
          <w:color w:val="000000"/>
          <w:sz w:val="44"/>
          <w:szCs w:val="44"/>
          <w:highlight w:val="none"/>
        </w:rPr>
      </w:pPr>
      <w:r/>
      <w:bookmarkStart w:id="35" w:name="_Toc120614211"/>
      <w:r>
        <w:rPr>
          <w:rFonts w:hint="eastAsia" w:ascii="黑体" w:hAnsi="宋体" w:eastAsia="黑体" w:cs="黑体"/>
          <w:color w:val="000000"/>
          <w:sz w:val="44"/>
          <w:szCs w:val="44"/>
          <w:highlight w:val="none"/>
        </w:rPr>
        <w:br w:type="page" w:clear="all"/>
      </w:r>
      <w:r/>
    </w:p>
    <w:p>
      <w:pPr>
        <w:pStyle w:val="645"/>
        <w:ind w:right="840"/>
        <w:jc w:val="center"/>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第二章 </w:t>
      </w:r>
      <w:bookmarkEnd w:id="35"/>
      <w:r/>
      <w:bookmarkStart w:id="36" w:name="_Toc20823274"/>
      <w:r/>
      <w:bookmarkStart w:id="37" w:name="_Toc513029202"/>
      <w:r/>
      <w:bookmarkStart w:id="38" w:name="_Toc120614213"/>
      <w:r/>
      <w:bookmarkStart w:id="39" w:name="_Toc16938518"/>
      <w:r>
        <w:rPr>
          <w:rFonts w:hint="eastAsia" w:ascii="黑体" w:hAnsi="宋体" w:eastAsia="黑体" w:cs="黑体"/>
          <w:color w:val="000000"/>
          <w:sz w:val="44"/>
          <w:szCs w:val="44"/>
          <w:highlight w:val="none"/>
        </w:rPr>
        <w:t xml:space="preserve">投标人须知</w:t>
      </w:r>
      <w:bookmarkEnd w:id="36"/>
      <w:r/>
      <w:bookmarkEnd w:id="37"/>
      <w:r/>
      <w:bookmarkEnd w:id="38"/>
      <w:r/>
      <w:bookmarkEnd w:id="39"/>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40" w:name="_Toc20823275"/>
      <w:r/>
      <w:bookmarkStart w:id="41" w:name="_Toc120614214"/>
      <w:r/>
      <w:bookmarkStart w:id="42" w:name="_Toc16938519"/>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49" w:name="_Toc513029205"/>
      <w:r/>
      <w:bookmarkStart w:id="50" w:name="_Toc20823277"/>
      <w:r/>
      <w:bookmarkStart w:id="51" w:name="_Toc16938521"/>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52" w:name="_Toc513029206"/>
      <w:r/>
      <w:bookmarkStart w:id="53" w:name="_Toc20823278"/>
      <w:r/>
      <w:bookmarkStart w:id="54" w:name="_Toc16938522"/>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55" w:name="_Toc513029207"/>
      <w:r/>
      <w:bookmarkStart w:id="56" w:name="_Toc20823279"/>
      <w:r/>
      <w:bookmarkStart w:id="57" w:name="_Toc462564067"/>
      <w:r/>
      <w:bookmarkStart w:id="58" w:name="_Toc16938523"/>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江苏瑞杰项目管理顾问有限公司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和采购人不收取标书工本费与中标服务费。</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5、招标文件的约束力</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59" w:name="_Toc16938525"/>
      <w:r/>
      <w:bookmarkStart w:id="60" w:name="_Toc120614215"/>
      <w:r/>
      <w:bookmarkStart w:id="61" w:name="_Toc513029209"/>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513029210"/>
      <w:r/>
      <w:bookmarkStart w:id="64" w:name="_Toc16938526"/>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6.1招标文件由以下部分组成：</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bookmarkStart w:id="201" w:name="_GoBack"/>
      <w:r/>
      <w:bookmarkEnd w:id="201"/>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66" w:name="_Toc16938527"/>
      <w:r/>
      <w:bookmarkStart w:id="67" w:name="_Toc513029211"/>
      <w:r/>
      <w:bookmarkStart w:id="68" w:name="_Toc462564070"/>
      <w:r/>
      <w:bookmarkStart w:id="69" w:name="_Toc20823283"/>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70" w:name="_Toc513029212"/>
      <w:r/>
      <w:bookmarkStart w:id="71" w:name="_Toc16938528"/>
      <w:r/>
      <w:bookmarkStart w:id="72" w:name="_Toc20823284"/>
      <w:r/>
      <w:bookmarkStart w:id="73" w:name="_Toc462564071"/>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74" w:name="_Toc20823285"/>
      <w:r/>
      <w:bookmarkStart w:id="75" w:name="_Toc120614216"/>
      <w:r/>
      <w:bookmarkStart w:id="76" w:name="_Toc513029213"/>
      <w:r/>
      <w:bookmarkStart w:id="77" w:name="_Toc462564072"/>
      <w:r/>
      <w:bookmarkStart w:id="78" w:name="_Toc16938529"/>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79" w:name="_Toc462564073"/>
      <w:r/>
      <w:bookmarkStart w:id="80" w:name="_Toc513029214"/>
      <w:r/>
      <w:bookmarkStart w:id="81" w:name="_Toc20823286"/>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83" w:name="_Toc462564074"/>
      <w:r/>
      <w:bookmarkStart w:id="84" w:name="_Toc513029215"/>
      <w:r/>
      <w:bookmarkStart w:id="85" w:name="_Toc16938531"/>
      <w:r/>
      <w:bookmarkStart w:id="86" w:name="_Toc20823287"/>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10.1开标一览表（系统固定格式）</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10.2资格审查资料</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10.2.1法人或者其他组织的营业执照等证明文件，自然人的身份证明；</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10.2.2上一年度的财务状况报告（成立不满一年无需提供）；</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10.2.4具备履行合同所必需的设备和专业技术能力的书面声明；</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10.2.5参加政府采购活动前 3 年内在经营活动中没有重大违法记录的书面声明；</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10.2.6投标人法定代表人身份证明和投标文件签署授权委托书（另附法定代表人和被授权人的身份证复印件或扫描件）；</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10.2.7投标人为被授权人缴纳的社会养老保险证明；</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10.2.8与资格审查有关的其他资料（如有）。</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10.3符合性资料</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10.3.1投标分项报价表</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10.3.2投标函</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10.3.3技术要求响应及偏离表</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10.3.4商务要求响应及偏离表</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10.3.5服务承诺</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10.3.6盐城市政府采购事前信用承诺书</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Times New Roman"/>
          <w:color w:val="auto"/>
          <w:sz w:val="24"/>
          <w:highlight w:val="none"/>
          <w:lang w:val="en-US" w:eastAsia="zh-CN"/>
        </w:rPr>
        <w:t xml:space="preserve">综合评审评分项相关资料</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10.5价格折扣文件(中小企业声明函、残疾人福利性单位声明函、监狱企业的证明文件）</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注：1）以上材料须按顺序进行排列。</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2）如为法定代表人参与公开招标的无须提供“投标文件签署授权委托书”和“被授权人缴纳的社会养老保险证明”。</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3）与本次公开招标无关的资料不要求提供。</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87" w:name="_Toc49090507"/>
      <w:r/>
      <w:bookmarkStart w:id="88" w:name="_Toc49090509"/>
      <w:r/>
      <w:bookmarkStart w:id="89" w:name="_Toc513029216"/>
      <w:r/>
      <w:bookmarkStart w:id="90" w:name="_Toc14577354"/>
      <w:r/>
      <w:bookmarkStart w:id="91" w:name="_Toc14577357"/>
      <w:r/>
      <w:bookmarkStart w:id="92" w:name="_Toc513029219"/>
      <w:r/>
      <w:bookmarkStart w:id="93" w:name="_Hlt26668975"/>
      <w:r/>
      <w:bookmarkStart w:id="94" w:name="_Hlt26670360"/>
      <w:r/>
      <w:bookmarkStart w:id="95"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96" w:name="_Toc49090508"/>
      <w:r/>
      <w:bookmarkStart w:id="97" w:name="_Toc14577355"/>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6"/>
      <w:r/>
      <w:bookmarkEnd w:id="97"/>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11.3“上一年度的财务状况报告”，投标人应提供资产负债表、利润表、现金流量表，投标人成立不满一年无需提供。</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11.4“依法缴纳税收的相关材料”，投标人应提供近期缴纳税收的凭据。</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11.5“依法缴纳社会保障资金的相关材料”，投标人应提供近期缴纳社会保险的凭据。</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11.6依法免税或不需要缴纳社会保障资金的投标人，应提供相应文件证明其依法免税或不需要缴纳社会保障资金。</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11.7“申请人的资格要求”和“资格审查资料”中的“近期”是指近两年以来的任一时间段。</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11.8投标文件格式规定的法定代表人或被授权人签名（签字）的地方，手写签名（签字）、加盖（电子）印章、加盖电子手写签名（签字）均认可。</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01" w:name="_Hlt26670403"/>
      <w:r/>
      <w:bookmarkStart w:id="102" w:name="_Hlt26954844"/>
      <w:r/>
      <w:bookmarkStart w:id="103" w:name="_Hlt26668983"/>
      <w:r/>
      <w:bookmarkStart w:id="104" w:name="_Hlt26670482"/>
      <w:r/>
      <w:bookmarkStart w:id="105" w:name="_Hlt26954731"/>
      <w:r/>
      <w:bookmarkStart w:id="106" w:name="_Hlt26954842"/>
      <w:r/>
      <w:bookmarkStart w:id="107" w:name="_Hlt26954846"/>
      <w:r/>
      <w:bookmarkStart w:id="108" w:name="_Hlt26670486"/>
      <w:r/>
      <w:bookmarkStart w:id="109" w:name="_Hlt26954848"/>
      <w:r/>
      <w:bookmarkStart w:id="110" w:name="_Hlt26670425"/>
      <w:r>
        <w:rPr>
          <w:rFonts w:hint="eastAsia" w:ascii="宋体" w:hAnsi="宋体" w:eastAsia="宋体" w:cs="宋体"/>
          <w:color w:val="auto"/>
          <w:sz w:val="24"/>
          <w:szCs w:val="24"/>
          <w:highlight w:val="none"/>
          <w:lang w:val="en-US" w:eastAsia="zh-CN"/>
        </w:rPr>
        <w:t xml:space="preserve">12.3投标人应按照第六章投标文件格式完整地填写</w:t>
      </w:r>
      <w:r>
        <w:rPr>
          <w:rFonts w:hint="eastAsia" w:ascii="宋体" w:hAnsi="宋体" w:eastAsia="宋体" w:cs="宋体"/>
          <w:color w:val="000000"/>
          <w:sz w:val="24"/>
          <w:szCs w:val="24"/>
          <w:highlight w:val="none"/>
        </w:rPr>
        <w:t xml:space="preserve">投标分项报价表</w:t>
      </w:r>
      <w:r>
        <w:rPr>
          <w:rFonts w:hint="eastAsia" w:ascii="宋体" w:hAnsi="宋体" w:eastAsia="宋体" w:cs="宋体"/>
          <w:color w:val="auto"/>
          <w:sz w:val="24"/>
          <w:szCs w:val="24"/>
          <w:highlight w:val="none"/>
          <w:lang w:val="en-US" w:eastAsia="zh-CN"/>
        </w:rPr>
        <w:t xml:space="preserve">，说明其拟提供服务的名称、服务内容、数量、价格等，采购人要求投标人明确填写的相关内容的，也应填写。</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12.4每项服务内容只允许有一个报价，任何有选择的报价将不予接受。</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本项目的中标人在领取中标通知书前，须向采购代理机构江苏瑞杰项目管理顾问有限公司支付招标代理服务费，招标代理服务费为人民币</w:t>
      </w:r>
      <w:r>
        <w:rPr>
          <w:rFonts w:hint="eastAsia" w:ascii="宋体" w:hAnsi="宋体" w:eastAsia="宋体" w:cs="宋体"/>
          <w:color w:val="auto"/>
          <w:sz w:val="24"/>
          <w:szCs w:val="24"/>
          <w:highlight w:val="none"/>
          <w:u w:val="single"/>
          <w:lang w:val="en-US" w:eastAsia="zh-CN"/>
        </w:rPr>
        <w:t xml:space="preserve"> 32000.00 </w:t>
      </w:r>
      <w:r>
        <w:rPr>
          <w:rFonts w:hint="eastAsia" w:ascii="宋体" w:hAnsi="宋体" w:eastAsia="宋体" w:cs="宋体"/>
          <w:color w:val="auto"/>
          <w:sz w:val="24"/>
          <w:szCs w:val="24"/>
          <w:highlight w:val="none"/>
          <w:lang w:val="en-US" w:eastAsia="zh-CN"/>
        </w:rPr>
        <w:t xml:space="preserve">元，上述费用由各投标人在投标时自行综合考虑分摊含进投标报价中，且不得单列，采购人不承担此费用。</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45"/>
        <w:ind w:left="0" w:firstLine="480"/>
        <w:jc w:val="both"/>
        <w:keepLines w:val="0"/>
        <w:keepNext w:val="0"/>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11" w:name="_Toc14577359"/>
      <w:r/>
      <w:bookmarkStart w:id="112" w:name="_Toc49090510"/>
      <w:r>
        <w:rPr>
          <w:rFonts w:hint="eastAsia" w:ascii="宋体" w:hAnsi="宋体" w:eastAsia="宋体" w:cs="宋体"/>
          <w:color w:val="000000"/>
          <w:sz w:val="24"/>
          <w:szCs w:val="24"/>
          <w:highlight w:val="none"/>
        </w:rPr>
        <w:t xml:space="preserve">14、投标函和开标一览表</w:t>
      </w:r>
      <w:bookmarkEnd w:id="111"/>
      <w:r/>
      <w:bookmarkEnd w:id="112"/>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13" w:name="_Toc14577360"/>
      <w:r/>
      <w:bookmarkStart w:id="114" w:name="_Toc49090511"/>
      <w:r/>
      <w:bookmarkStart w:id="115" w:name="_Hlt26954850"/>
      <w:r/>
      <w:bookmarkStart w:id="116" w:name="_Hlt26670489"/>
      <w:r/>
      <w:bookmarkStart w:id="117" w:name="_Hlt26954734"/>
      <w:r>
        <w:rPr>
          <w:rFonts w:hint="eastAsia" w:ascii="宋体" w:hAnsi="宋体" w:eastAsia="宋体" w:cs="宋体"/>
          <w:color w:val="000000"/>
          <w:sz w:val="24"/>
          <w:szCs w:val="24"/>
          <w:highlight w:val="none"/>
        </w:rPr>
        <w:t xml:space="preserve">15、投标有效期</w:t>
      </w:r>
      <w:bookmarkEnd w:id="113"/>
      <w:r/>
      <w:bookmarkEnd w:id="114"/>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18" w:name="_Toc120614217"/>
      <w:r/>
      <w:bookmarkStart w:id="119" w:name="_Toc513029224"/>
      <w:r/>
      <w:bookmarkStart w:id="120" w:name="_Toc20823296"/>
      <w:r/>
      <w:bookmarkStart w:id="121" w:name="_Toc16938540"/>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24" w:name="_Toc16938541"/>
      <w:r/>
      <w:bookmarkStart w:id="125" w:name="_Toc462564084"/>
      <w:r/>
      <w:bookmarkStart w:id="126" w:name="_Toc20823297"/>
      <w:r/>
      <w:bookmarkStart w:id="127" w:name="_Toc513029225"/>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17.1电子投标文件的递交</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31" w:name="_Toc16938543"/>
      <w:r/>
      <w:bookmarkStart w:id="132" w:name="_Toc513029227"/>
      <w:r/>
      <w:bookmarkStart w:id="133" w:name="_Toc20823299"/>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34" w:name="_Toc513029228"/>
      <w:r/>
      <w:bookmarkStart w:id="135" w:name="_Toc20823300"/>
      <w:r/>
      <w:bookmarkStart w:id="136" w:name="_Toc16938544"/>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20.2投标文件的修改</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37" w:name="_Toc16938545"/>
      <w:r/>
      <w:bookmarkStart w:id="138" w:name="_Toc20823301"/>
      <w:r/>
      <w:bookmarkStart w:id="139" w:name="_Toc120614218"/>
      <w:r/>
      <w:bookmarkStart w:id="140" w:name="_Toc513029229"/>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513029230"/>
      <w:r/>
      <w:bookmarkStart w:id="142" w:name="_Toc20823302"/>
      <w:r/>
      <w:bookmarkStart w:id="143" w:name="_Toc16938546"/>
      <w:r>
        <w:rPr>
          <w:rFonts w:hint="eastAsia" w:ascii="宋体" w:hAnsi="宋体" w:eastAsia="宋体" w:cs="宋体"/>
          <w:color w:val="auto"/>
          <w:sz w:val="24"/>
          <w:szCs w:val="24"/>
          <w:highlight w:val="none"/>
        </w:rPr>
        <w:t xml:space="preserve">21、开标</w:t>
      </w:r>
      <w:bookmarkEnd w:id="141"/>
      <w:r/>
      <w:bookmarkEnd w:id="142"/>
      <w:r/>
      <w:bookmarkEnd w:id="143"/>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4" w:name="_Toc16938547"/>
      <w:r/>
      <w:bookmarkStart w:id="145" w:name="_Toc513029231"/>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47" w:name="_Toc16938548"/>
      <w:r/>
      <w:bookmarkStart w:id="148" w:name="_Toc20823304"/>
      <w:r/>
      <w:bookmarkStart w:id="149" w:name="_Toc513029232"/>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50" w:name="_Toc16938549"/>
      <w:r/>
      <w:bookmarkStart w:id="151" w:name="_Toc20823305"/>
      <w:r/>
      <w:bookmarkStart w:id="152" w:name="_Toc513029233"/>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联合体成员存在不良信用记录的，视同联合体存在不良应用记录。</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采购人将不再告知</w:t>
      </w:r>
      <w:r>
        <w:rPr>
          <w:rFonts w:hint="eastAsia" w:ascii="宋体" w:hAnsi="宋体" w:eastAsia="宋体" w:cs="宋体"/>
          <w:color w:val="000000"/>
          <w:sz w:val="24"/>
          <w:szCs w:val="24"/>
          <w:highlight w:val="none"/>
        </w:rPr>
        <w:t xml:space="preserve">未通过资格审查和符合性审查的原因。</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16938550"/>
      <w:r/>
      <w:bookmarkStart w:id="154" w:name="_Toc20823306"/>
      <w:r/>
      <w:bookmarkStart w:id="155"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6" w:name="_Toc16938551"/>
      <w:r/>
      <w:bookmarkStart w:id="157" w:name="_Toc20823307"/>
      <w:r/>
      <w:bookmarkStart w:id="158" w:name="_Toc513029235"/>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45"/>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.6被授权人无法提供证明其为本单位正式职工的社会养老保险缴费证明的。</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26.1.7由被授权人参加，但未随投标文件一起提交合法、有效的“授权委托书”的。</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8投标文件内容不全或关键字迹模糊、无法辨认的。</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未通过符合性审查的。</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26.1.10投标人不能证明其报价合理性的，评</w:t>
      </w:r>
      <w:r>
        <w:rPr>
          <w:rFonts w:hint="eastAsia" w:ascii="宋体" w:hAnsi="宋体" w:eastAsia="宋体" w:cs="宋体"/>
          <w:b/>
          <w:bCs/>
          <w:color w:val="000000"/>
          <w:sz w:val="24"/>
          <w:szCs w:val="24"/>
          <w:highlight w:val="none"/>
          <w:lang w:val="en-US" w:eastAsia="zh-CN"/>
        </w:rPr>
        <w:t xml:space="preserve">标</w:t>
      </w:r>
      <w:r>
        <w:rPr>
          <w:rFonts w:hint="eastAsia" w:ascii="宋体" w:hAnsi="宋体" w:eastAsia="宋体" w:cs="宋体"/>
          <w:b/>
          <w:bCs/>
          <w:color w:val="000000"/>
          <w:sz w:val="24"/>
          <w:szCs w:val="24"/>
          <w:highlight w:val="none"/>
        </w:rPr>
        <w:t xml:space="preserve">委员会应当将其作为无效投标处理。</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（一）评审过程中出现下列情形之一的，评标委员会应当启动异常低价投标审查程序：</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1.投标报价低于采购项目预算50% 的，即投标报价&lt;采购项目预算×50%；</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2.投标报价低于采购项目最高限价45% 的，即投标报价&lt;采购项目最高限价×45%；</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3.评标委员会认定的供应商报价过低、有可能影响产品质量或者不能诚信履约的其他情形。</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投标文件含有采购人不能接受的附加条件的。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评标委员会认为投标人的报价明显低于其他通过符合性审查投标人的报价，有可能影响产品质量或者不能诚信履约</w:t>
      </w:r>
      <w:r>
        <w:rPr>
          <w:rFonts w:hint="eastAsia" w:ascii="宋体" w:hAnsi="宋体" w:eastAsia="宋体" w:cs="宋体"/>
          <w:color w:val="auto"/>
          <w:sz w:val="24"/>
          <w:szCs w:val="24"/>
          <w:highlight w:val="none"/>
        </w:rPr>
        <w:t xml:space="preserve">的，将通过苏采云系统要求其在合理的时间内提供说明，必要时提交相关证明材料；投标人不能证明其报价合理性的，评标委员会应当将其作为无效投标处理。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投标文件未按照招标文件要求加盖CA电子公章的。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6以他人的名义投标、串通投标、以行贿手段谋取中标或者以其他弄虚作假方式投标的。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其他法律、法规及本招标文件规定的属无效投标的情形。</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26.3投标截止时间结束后参加投标的供应商不足三家的处理</w:t>
      </w:r>
      <w:r>
        <w:rPr>
          <w:rFonts w:hint="eastAsia" w:ascii="宋体" w:hAnsi="宋体" w:eastAsia="宋体" w:cs="宋体"/>
          <w:color w:val="auto"/>
          <w:sz w:val="24"/>
          <w:szCs w:val="24"/>
          <w:highlight w:val="none"/>
          <w:lang w:eastAsia="zh-CN"/>
        </w:rPr>
        <w:t xml:space="preserve">。</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60" w:name="_Toc20823310"/>
      <w:r/>
      <w:bookmarkStart w:id="161" w:name="_Toc16938554"/>
      <w:r/>
      <w:bookmarkStart w:id="162" w:name="_Toc513029238"/>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27.5有下列情形之一的，视为投标人串通投标，投标无效：</w:t>
      </w:r>
      <w:bookmarkEnd w:id="163"/>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left="0" w:firstLine="480"/>
        <w:jc w:val="left"/>
        <w:keepLines w:val="0"/>
        <w:keepNext w:val="0"/>
        <w:pageBreakBefore w:val="0"/>
        <w:spacing w:line="360" w:lineRule="auto"/>
        <w:widowControl w:val="off"/>
        <w:tabs>
          <w:tab w:val="left" w:pos="133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color w:val="000000"/>
          <w:sz w:val="24"/>
          <w:szCs w:val="24"/>
          <w:highlight w:val="none"/>
          <w:lang w:val="en-US" w:eastAsia="zh-CN"/>
        </w:rPr>
        <w:t xml:space="preserve">质疑接收部门为盐城市东台生态环境局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东台市金海东路1号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13815598529。</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28.5以下情形的质疑不予受理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64" w:name="_Toc20823308"/>
      <w:r/>
      <w:bookmarkStart w:id="165" w:name="_Toc513029236"/>
      <w:r/>
      <w:bookmarkStart w:id="166" w:name="_Toc16938552"/>
      <w:r/>
      <w:bookmarkStart w:id="167" w:name="_Toc120614220"/>
      <w:r>
        <w:rPr>
          <w:rFonts w:hint="eastAsia" w:ascii="宋体" w:hAnsi="宋体" w:eastAsia="宋体" w:cs="宋体"/>
          <w:color w:val="auto"/>
          <w:sz w:val="24"/>
          <w:szCs w:val="24"/>
          <w:highlight w:val="none"/>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bookmarkStart w:id="168" w:name="_Toc20823309"/>
      <w:r/>
      <w:bookmarkStart w:id="169" w:name="_Toc513029237"/>
      <w:r/>
      <w:bookmarkStart w:id="170" w:name="_Toc16938553"/>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bookmarkEnd w:id="168"/>
      <w:r/>
      <w:bookmarkEnd w:id="169"/>
      <w:r/>
      <w:bookmarkEnd w:id="170"/>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w:t>
      </w:r>
      <w:r>
        <w:rPr>
          <w:rFonts w:hint="eastAsia" w:ascii="宋体" w:hAnsi="宋体" w:eastAsia="宋体" w:cs="宋体"/>
          <w:color w:val="000000"/>
          <w:sz w:val="24"/>
          <w:szCs w:val="24"/>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32.3.6.1安置的残疾人占本单位在职职工人数的比例不低于25%（含25%），并且安置的残疾人人数不少于10人（含10人）；</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33、预付款制度</w:t>
      </w:r>
      <w:r/>
    </w:p>
    <w:p>
      <w:pPr>
        <w:pStyle w:val="645"/>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45"/>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4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第三章 合同文本</w:t>
      </w:r>
      <w:r/>
    </w:p>
    <w:p>
      <w:pPr>
        <w:pStyle w:val="645"/>
        <w:ind w:firstLine="480"/>
        <w:jc w:val="both"/>
        <w:keepLines w:val="0"/>
        <w:keepNext w:val="0"/>
        <w:pageBreakBefore w:val="0"/>
        <w:spacing w:beforeAutospacing="0" w:afterAutospacing="0" w:line="500" w:lineRule="exact"/>
        <w:widowControl w:val="off"/>
        <w:rPr>
          <w:sz w:val="24"/>
          <w:szCs w:val="24"/>
          <w:highlight w:val="none"/>
        </w:rPr>
      </w:pPr>
      <w:r/>
      <w:bookmarkStart w:id="171" w:name="_Toc513029243"/>
      <w:r/>
      <w:bookmarkStart w:id="172" w:name="_Toc20823315"/>
      <w:r/>
      <w:bookmarkStart w:id="173" w:name="_Toc16938559"/>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645"/>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盐城市东台生态环境局东台河美丽河湖优秀案例申报项目（东台河美丽河湖建设成效评估）</w:t>
      </w:r>
      <w:r/>
    </w:p>
    <w:p>
      <w:pPr>
        <w:pStyle w:val="645"/>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JSZC-320981-JSRJ-G2025-0031</w:t>
      </w:r>
      <w:r/>
    </w:p>
    <w:p>
      <w:pPr>
        <w:pStyle w:val="645"/>
        <w:jc w:val="both"/>
        <w:keepLines w:val="0"/>
        <w:keepNext w:val="0"/>
        <w:pageBreakBefore w:val="0"/>
        <w:spacing w:before="120" w:beforeAutospacing="0" w:after="120" w:afterAutospacing="0" w:line="500" w:lineRule="exact"/>
        <w:widowControl w:val="off"/>
        <w:rPr>
          <w:rFonts w:hint="default"/>
          <w:sz w:val="24"/>
          <w:szCs w:val="24"/>
          <w:highlight w:val="none"/>
          <w:lang w:val="en-US"/>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lang w:val="en-US" w:eastAsia="zh-CN"/>
        </w:rPr>
        <w:t xml:space="preserve">盐城市东台生态环境局</w:t>
      </w:r>
      <w:r/>
    </w:p>
    <w:p>
      <w:pPr>
        <w:pStyle w:val="645"/>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盐城市东台生态环境局东台河美丽河湖优秀案例申报项目（东台河美丽河湖建设成效评估）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1.1标的名称：</w:t>
      </w:r>
      <w:r>
        <w:rPr>
          <w:rFonts w:hint="eastAsia" w:ascii="宋体" w:hAnsi="宋体" w:eastAsia="宋体" w:cs="宋体"/>
          <w:color w:val="000000"/>
          <w:sz w:val="24"/>
          <w:szCs w:val="24"/>
          <w:highlight w:val="none"/>
          <w:lang w:eastAsia="zh-CN"/>
        </w:rPr>
        <w:t xml:space="preserve">盐城市东台生态环境局东台河美丽河湖优秀案例申报项目（东台河美丽河湖建设成效评估）。</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1.2标的质量：满足招标文件采购需求开展，并符合现行国家相关标准、行业标准、地方标准或者其他标准、规范。</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1.3标的数量（规模）：</w:t>
      </w:r>
      <w:r>
        <w:rPr>
          <w:rFonts w:hint="eastAsia" w:ascii="宋体" w:hAnsi="宋体" w:eastAsia="宋体" w:cs="宋体"/>
          <w:color w:val="000000"/>
          <w:sz w:val="24"/>
          <w:szCs w:val="24"/>
          <w:highlight w:val="none"/>
          <w:lang w:val="en-US" w:eastAsia="zh-CN"/>
        </w:rPr>
        <w:t xml:space="preserve">美丽河湖是美丽中国在水生态环境领域的集中体现和重要载体。根据《江苏省美丽河湖保护与建设实施方案（征求意见稿）》（苏环便函〔2024〕246号）《江苏省美丽河湖保护与建设实施指导方案》（苏污防攻坚指办〔2024〕27号），东台河被列入江苏省2025年江苏省美丽河湖保护与建设任务清单。通过采购技术服务的方式，根据《省生态环境厅关于征集2022年美丽河湖优秀案例的函》（苏环函〔2022〕288号）《省</w:t>
      </w:r>
      <w:r>
        <w:rPr>
          <w:rFonts w:hint="eastAsia" w:ascii="宋体" w:hAnsi="宋体" w:eastAsia="宋体" w:cs="宋体"/>
          <w:color w:val="000000"/>
          <w:sz w:val="24"/>
          <w:szCs w:val="24"/>
          <w:highlight w:val="none"/>
          <w:lang w:val="en-US" w:eastAsia="zh-CN"/>
        </w:rPr>
        <w:t xml:space="preserve">生态环境厅关于推进江苏省美丽河湖保护与建设工作的通知》（苏环办〔2023〕27号）相关要求，结合东台河实际，完成东台河省级美丽河湖创建评估工作，包括但不限于开展东台河水生态评估；从水资源、水生态、水环境方面集成东台河治理特色，完成申报表填报；对照江苏省美丽河湖评价指标体系表，完成自评估报告；制作东台河美丽河湖影像资料。按照国家生态环境部《关于开展第四批美丽河湖、美丽海湾优秀案例征集活动的通知》（环办水体函〔2025〕212号），对东台河美丽河湖建设好经验、好做法进行梳理提炼形成美丽河湖优秀案例案例申报材料。</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1.4履行时间（期限）：</w:t>
      </w:r>
      <w:r>
        <w:rPr>
          <w:rFonts w:hint="eastAsia" w:ascii="宋体" w:hAnsi="宋体" w:eastAsia="宋体" w:cs="宋体"/>
          <w:color w:val="000000"/>
          <w:sz w:val="24"/>
          <w:szCs w:val="24"/>
          <w:highlight w:val="none"/>
          <w:lang w:val="en-US" w:eastAsia="zh-CN"/>
        </w:rPr>
        <w:t xml:space="preserve">自合同签订之日起至2026年6月30日止。</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1.5履行地点：</w:t>
      </w:r>
      <w:r>
        <w:rPr>
          <w:rFonts w:hint="eastAsia" w:ascii="宋体" w:hAnsi="宋体" w:eastAsia="宋体" w:cs="宋体"/>
          <w:color w:val="000000"/>
          <w:sz w:val="24"/>
          <w:szCs w:val="24"/>
          <w:highlight w:val="none"/>
          <w:lang w:val="en-US" w:eastAsia="zh-CN"/>
        </w:rPr>
        <w:t xml:space="preserve">江苏省盐城市东台市境内。</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sz w:val="24"/>
          <w:szCs w:val="24"/>
          <w:highlight w:val="none"/>
          <w:lang w:val="en-US" w:eastAsia="zh-CN"/>
        </w:rPr>
        <w:t xml:space="preserve">详见招标文件采购需求。</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645"/>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元）人民币。</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64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4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5"/>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645"/>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45"/>
        <w:jc w:val="both"/>
        <w:keepLines w:val="0"/>
        <w:keepNext w:val="0"/>
        <w:pageBreakBefore w:val="0"/>
        <w:spacing w:beforeAutospacing="0" w:afterAutospacing="0" w:line="5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4.2本项目产生的全部成果（包括但不限于文本、图表、电子文件等），项目结束后，乙方应全部交付，交付的全部成果的知识产权归甲方所有。</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645"/>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45"/>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645"/>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val="en-US" w:eastAsia="zh-CN"/>
        </w:rPr>
        <w:t xml:space="preserve"> 合同金额的10% </w:t>
      </w:r>
      <w:r>
        <w:rPr>
          <w:rFonts w:hint="eastAsia" w:ascii="宋体" w:hAnsi="宋体" w:eastAsia="宋体" w:cs="宋体"/>
          <w:color w:val="000000"/>
          <w:sz w:val="24"/>
          <w:szCs w:val="24"/>
          <w:highlight w:val="none"/>
        </w:rPr>
        <w:t xml:space="preserve">元作为本合同的履约保证金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乙方在合同签订之前向甲方提交</w:t>
      </w:r>
      <w:r>
        <w:rPr>
          <w:rFonts w:hint="eastAsia" w:ascii="宋体" w:hAnsi="宋体" w:eastAsia="宋体" w:cs="宋体"/>
          <w:color w:val="000000"/>
          <w:sz w:val="24"/>
          <w:szCs w:val="24"/>
          <w:highlight w:val="none"/>
        </w:rPr>
        <w:t xml:space="preserve">。</w:t>
      </w:r>
      <w:r/>
    </w:p>
    <w:p>
      <w:pPr>
        <w:pStyle w:val="64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000000"/>
          <w:sz w:val="24"/>
          <w:szCs w:val="24"/>
          <w:highlight w:val="none"/>
          <w:u w:val="single"/>
          <w:lang w:val="en-US" w:eastAsia="zh-CN"/>
        </w:rPr>
        <w:t xml:space="preserve"> 否 </w:t>
      </w:r>
      <w:r>
        <w:rPr>
          <w:rFonts w:hint="eastAsia" w:ascii="宋体" w:hAnsi="宋体" w:eastAsia="宋体" w:cs="宋体"/>
          <w:color w:val="000000"/>
          <w:sz w:val="24"/>
          <w:szCs w:val="24"/>
          <w:highlight w:val="none"/>
        </w:rPr>
        <w:t xml:space="preserve">免收 ，降低履约保证金缴纳比例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0% </w:t>
      </w:r>
      <w:r>
        <w:rPr>
          <w:rFonts w:hint="eastAsia" w:ascii="宋体" w:hAnsi="宋体" w:eastAsia="宋体" w:cs="宋体"/>
          <w:color w:val="000000"/>
          <w:sz w:val="24"/>
          <w:szCs w:val="24"/>
          <w:highlight w:val="none"/>
        </w:rPr>
        <w:t xml:space="preserve">。</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6.2.2如以履约保函（保险）形式缴纳履约保证金，供应商可通过政府采购电子履约保函（保险）平台（www.jsdzbh.com）在线申请履约保函（保险）。</w:t>
      </w:r>
      <w:r/>
    </w:p>
    <w:p>
      <w:pPr>
        <w:pStyle w:val="645"/>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考核验收结果确定后</w:t>
      </w:r>
      <w:r>
        <w:rPr>
          <w:rFonts w:hint="eastAsia" w:ascii="宋体" w:hAnsi="宋体" w:eastAsia="宋体" w:cs="宋体"/>
          <w:color w:val="000000" w:themeColor="text1"/>
          <w:sz w:val="24"/>
          <w:szCs w:val="24"/>
          <w:highlight w:val="none"/>
          <w14:textFill>
            <w14:solidFill>
              <w14:schemeClr w14:val="tx1"/>
            </w14:solidFill>
          </w14:textFill>
        </w:rPr>
        <w:t xml:space="preserve">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.3条件：按合同要求履约完成并经采购人验收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考核</w:t>
      </w:r>
      <w:r>
        <w:rPr>
          <w:rFonts w:hint="eastAsia" w:ascii="宋体" w:hAnsi="宋体" w:eastAsia="宋体" w:cs="宋体"/>
          <w:color w:val="000000" w:themeColor="text1"/>
          <w:sz w:val="24"/>
          <w:szCs w:val="24"/>
          <w:highlight w:val="none"/>
          <w14:textFill>
            <w14:solidFill>
              <w14:schemeClr w14:val="tx1"/>
            </w14:solidFill>
          </w14:textFill>
        </w:rPr>
        <w:t xml:space="preserve">，且采购人收到中标人出具的发票。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4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4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4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4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45"/>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645"/>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8.1.1合同签订后，自收到发票之日起10日内，甲方支付乙方合同总价的30％作为预付款；</w:t>
      </w:r>
      <w:r/>
    </w:p>
    <w:p>
      <w:pPr>
        <w:pStyle w:val="645"/>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8.1.2完成水质监测分析、水生态专项调查并形成相应报告后，自收到发票之日起10日内，甲方支付乙方合同总价的70％（扣除项目已支付的金额）；</w:t>
      </w:r>
      <w:r/>
    </w:p>
    <w:p>
      <w:pPr>
        <w:pStyle w:val="645"/>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8.1.3完成东台河美丽河湖建设评估以及优秀案例申报等相关集成成果，通过甲方组织的专家评审并收到发票之日起10日内，甲方支付乙方应结算金额的100%（扣除项目已支付的金额）。</w:t>
      </w:r>
      <w:r/>
    </w:p>
    <w:p>
      <w:pPr>
        <w:pStyle w:val="645"/>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zh-CN" w:eastAsia="zh-CN"/>
        </w:rPr>
        <w:t xml:space="preserve">以上付款均无银行利息，一律通过银行结转；</w:t>
      </w:r>
      <w:r>
        <w:rPr>
          <w:rFonts w:hint="eastAsia" w:ascii="宋体" w:hAnsi="宋体" w:eastAsia="宋体" w:cs="宋体"/>
          <w:color w:val="000000"/>
          <w:sz w:val="24"/>
          <w:szCs w:val="24"/>
          <w:highlight w:val="none"/>
          <w:lang w:val="en-US" w:eastAsia="zh-CN"/>
        </w:rPr>
        <w:t xml:space="preserve">甲方在付款前，乙方应先向甲方提供等额有效的发票，否则甲方有权拒付款项，且不承担任何责任。</w:t>
      </w:r>
      <w:r/>
    </w:p>
    <w:p>
      <w:pPr>
        <w:pStyle w:val="64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645"/>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十、项目</w:t>
      </w:r>
      <w:r>
        <w:rPr>
          <w:rFonts w:hint="eastAsia" w:ascii="宋体" w:hAnsi="宋体" w:eastAsia="宋体" w:cs="宋体"/>
          <w:b/>
          <w:color w:val="000000"/>
          <w:sz w:val="24"/>
          <w:szCs w:val="24"/>
          <w:highlight w:val="none"/>
          <w:lang w:val="en-US" w:eastAsia="zh-CN"/>
        </w:rPr>
        <w:t xml:space="preserve">确认</w:t>
      </w:r>
      <w:r/>
    </w:p>
    <w:p>
      <w:pPr>
        <w:pStyle w:val="645"/>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项目是否完成以通过甲方组织的</w:t>
      </w:r>
      <w:r>
        <w:rPr>
          <w:rFonts w:hint="eastAsia" w:ascii="宋体" w:hAnsi="宋体" w:eastAsia="宋体" w:cs="宋体"/>
          <w:color w:val="000000"/>
          <w:sz w:val="24"/>
          <w:szCs w:val="24"/>
          <w:highlight w:val="none"/>
          <w:lang w:val="en-US" w:eastAsia="zh-CN"/>
        </w:rPr>
        <w:t xml:space="preserve">专家评审</w:t>
      </w:r>
      <w:r>
        <w:rPr>
          <w:rFonts w:hint="eastAsia" w:ascii="宋体" w:hAnsi="宋体" w:eastAsia="宋体" w:cs="宋体"/>
          <w:color w:val="000000"/>
          <w:sz w:val="24"/>
          <w:szCs w:val="24"/>
          <w:highlight w:val="none"/>
        </w:rPr>
        <w:t xml:space="preserve">为准；</w:t>
      </w:r>
      <w:r/>
    </w:p>
    <w:p>
      <w:pPr>
        <w:pStyle w:val="645"/>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10.2项目通过甲方组织的</w:t>
      </w:r>
      <w:r>
        <w:rPr>
          <w:rFonts w:hint="eastAsia" w:ascii="宋体" w:hAnsi="宋体" w:eastAsia="宋体" w:cs="宋体"/>
          <w:color w:val="000000"/>
          <w:sz w:val="24"/>
          <w:szCs w:val="24"/>
          <w:highlight w:val="none"/>
          <w:lang w:val="en-US" w:eastAsia="zh-CN"/>
        </w:rPr>
        <w:t xml:space="preserve">专家评审</w:t>
      </w:r>
      <w:r>
        <w:rPr>
          <w:rFonts w:hint="eastAsia" w:ascii="宋体" w:hAnsi="宋体" w:eastAsia="宋体" w:cs="宋体"/>
          <w:color w:val="000000"/>
          <w:sz w:val="24"/>
          <w:szCs w:val="24"/>
          <w:highlight w:val="none"/>
        </w:rPr>
        <w:t xml:space="preserve">后，甲方根据采购合同的约定及时向乙方支付合同款项、退还履约保证金。采购合同的履行、违约责任和解决争议的方式等适用《民法典》。乙方在履约过程中有政府采购法律法规规定的违法违规情形的，甲方将及时报告本级财政部门。</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645"/>
        <w:ind w:left="410" w:hanging="410"/>
        <w:jc w:val="both"/>
        <w:spacing w:before="120" w:beforeAutospacing="0" w:after="120" w:afterAutospacing="0" w:line="500" w:lineRule="exact"/>
        <w:rPr>
          <w:highlight w:val="none"/>
        </w:rPr>
      </w:pPr>
      <w:r>
        <w:rPr>
          <w:rFonts w:hint="eastAsia" w:ascii="宋体" w:hAnsi="宋体" w:eastAsia="宋体" w:cs="宋体"/>
          <w:color w:val="000000"/>
          <w:highlight w:val="none"/>
        </w:rPr>
        <w:t xml:space="preserve">11.1甲方无正当理由拒绝接受乙方提供服务的，甲方向乙方偿付拒绝接受服务合同价款总值</w:t>
      </w:r>
      <w:r>
        <w:rPr>
          <w:rFonts w:hint="eastAsia" w:ascii="宋体" w:hAnsi="宋体" w:eastAsia="宋体" w:cs="宋体"/>
          <w:color w:val="000000"/>
          <w:highlight w:val="none"/>
          <w:u w:val="single"/>
        </w:rPr>
        <w:t xml:space="preserve"> 3‰ </w:t>
      </w:r>
      <w:r>
        <w:rPr>
          <w:rFonts w:hint="eastAsia" w:ascii="宋体" w:hAnsi="宋体" w:eastAsia="宋体" w:cs="宋体"/>
          <w:color w:val="000000"/>
          <w:highlight w:val="none"/>
        </w:rPr>
        <w:t xml:space="preserve">的违约金。</w:t>
      </w:r>
      <w:r/>
    </w:p>
    <w:p>
      <w:pPr>
        <w:pStyle w:val="645"/>
        <w:ind w:left="410" w:hanging="410"/>
        <w:jc w:val="both"/>
        <w:spacing w:before="120" w:beforeAutospacing="0" w:after="12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11.2甲方无故逾期验收和办理合同款项支付手续的，甲方应按逾期付款总额3‰ 每日向乙方支付违约金。</w:t>
      </w:r>
      <w:r/>
    </w:p>
    <w:p>
      <w:pPr>
        <w:pStyle w:val="645"/>
        <w:ind w:left="410" w:hanging="410"/>
        <w:jc w:val="both"/>
        <w:spacing w:before="120" w:beforeAutospacing="0" w:after="12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11.3乙方逾期交付服务成果报告的，乙方应按合同总额 6‰ 每日向甲方支付违约金，由甲方从待付合同款项中扣除。逾期超过约定日期10个工作日不能提供服务的，甲方可解除本合同。乙方因逾期交付服务成果报告或因其他违约行为导致甲方解除合同的，乙方应向甲方支付合同价款总额</w:t>
      </w:r>
      <w:r>
        <w:rPr>
          <w:rFonts w:hint="eastAsia" w:ascii="宋体" w:hAnsi="宋体" w:eastAsia="宋体" w:cs="宋体"/>
          <w:color w:val="000000"/>
          <w:highlight w:val="none"/>
          <w:u w:val="single"/>
        </w:rPr>
        <w:t xml:space="preserve"> 5</w:t>
      </w:r>
      <w:r>
        <w:rPr>
          <w:rFonts w:hint="eastAsia" w:ascii="宋体" w:hAnsi="宋体" w:eastAsia="宋体" w:cs="宋体"/>
          <w:color w:val="000000"/>
          <w:highlight w:val="none"/>
          <w:u w:val="single"/>
          <w:lang w:val="en-US" w:eastAsia="zh-CN"/>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的违约金，如造成甲方损失超过违约金的，超出部分由乙方继续承担赔偿责任。</w:t>
      </w:r>
      <w:r/>
    </w:p>
    <w:p>
      <w:pPr>
        <w:pStyle w:val="645"/>
        <w:ind w:left="410" w:hanging="410"/>
        <w:jc w:val="both"/>
        <w:spacing w:before="120" w:beforeAutospacing="0" w:after="12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11.4乙方所提供服务的标准不符合合同规定及招标文件规定标准的，甲方有权拒绝接受服务，并可单方面解除合同，解除合同的，乙方应当及时退还已支付的预付款。</w:t>
      </w:r>
      <w:r/>
    </w:p>
    <w:p>
      <w:pPr>
        <w:pStyle w:val="645"/>
        <w:ind w:left="410" w:hanging="410"/>
        <w:jc w:val="both"/>
        <w:spacing w:before="120" w:beforeAutospacing="0" w:after="12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11.5乙方提交的成果报告未通过甲方</w:t>
      </w:r>
      <w:r>
        <w:rPr>
          <w:rFonts w:hint="eastAsia" w:ascii="宋体" w:hAnsi="宋体" w:eastAsia="宋体" w:cs="宋体"/>
          <w:color w:val="000000"/>
          <w:highlight w:val="none"/>
          <w:lang w:val="en-US" w:eastAsia="zh-CN"/>
        </w:rPr>
        <w:t xml:space="preserve">确认</w:t>
      </w:r>
      <w:r>
        <w:rPr>
          <w:rFonts w:hint="eastAsia" w:ascii="宋体" w:hAnsi="宋体" w:eastAsia="宋体" w:cs="宋体"/>
          <w:color w:val="000000"/>
          <w:highlight w:val="none"/>
        </w:rPr>
        <w:t xml:space="preserve">的，甲方有权拒收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由此造成的损失由乙方承担</w:t>
      </w:r>
      <w:r>
        <w:rPr>
          <w:rFonts w:hint="eastAsia" w:ascii="宋体" w:hAnsi="宋体" w:eastAsia="宋体" w:cs="宋体"/>
          <w:color w:val="000000"/>
          <w:highlight w:val="none"/>
        </w:rPr>
        <w:t xml:space="preserve">。</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64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12.1在合同有效期内，任何一方因不可抗力事件导致不能履行合同，则合同履行期可延长，其延长期与不可抗力影响期相同。</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十三、安全责任划分</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乙方参与项目服务的人员人身安全及保障责任由乙方全权承担。</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bookmarkStart w:id="174" w:name="_Toc479757211"/>
      <w:r/>
      <w:bookmarkStart w:id="175" w:name="_Toc462564139"/>
      <w:r/>
      <w:bookmarkStart w:id="176" w:name="_Toc16938590"/>
      <w:r/>
      <w:bookmarkStart w:id="177" w:name="_Toc120614244"/>
      <w:r/>
      <w:bookmarkStart w:id="178" w:name="_Hlt16619350"/>
      <w:r/>
      <w:bookmarkStart w:id="179" w:name="_Toc20823346"/>
      <w:r/>
      <w:bookmarkStart w:id="180" w:name="_Hlt16619369"/>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、解决争议的方法</w:t>
      </w:r>
      <w:r/>
    </w:p>
    <w:p>
      <w:pPr>
        <w:pStyle w:val="64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64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14.2本合同未尽事宜，遵照《民法典》、《政府采购法》有关条文执行。</w:t>
      </w:r>
      <w:r/>
    </w:p>
    <w:p>
      <w:pPr>
        <w:pStyle w:val="64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14.3本合同一式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叁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645"/>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645"/>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45"/>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w:t>
      </w:r>
      <w:bookmarkEnd w:id="174"/>
      <w:r>
        <w:rPr>
          <w:rFonts w:hint="eastAsia" w:ascii="黑体" w:hAnsi="宋体" w:eastAsia="黑体" w:cs="黑体"/>
          <w:color w:val="000000"/>
          <w:sz w:val="44"/>
          <w:szCs w:val="44"/>
          <w:highlight w:val="none"/>
        </w:rPr>
        <w:t xml:space="preserve">四章 采购需求</w:t>
      </w:r>
      <w:bookmarkEnd w:id="175"/>
      <w:r/>
      <w:bookmarkEnd w:id="176"/>
      <w:r/>
      <w:bookmarkEnd w:id="177"/>
      <w:r/>
      <w:bookmarkEnd w:id="178"/>
      <w:r/>
      <w:bookmarkEnd w:id="179"/>
      <w:r/>
      <w:r/>
    </w:p>
    <w:p>
      <w:pPr>
        <w:pStyle w:val="645"/>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bookmarkStart w:id="181" w:name="_Toc49090575"/>
      <w:r/>
      <w:bookmarkStart w:id="182" w:name="_Toc26554093"/>
      <w:r/>
      <w:bookmarkStart w:id="183" w:name="_Toc120614281"/>
      <w:r>
        <w:rPr>
          <w:rFonts w:hint="eastAsia" w:ascii="宋体" w:hAnsi="宋体" w:eastAsia="宋体" w:cs="宋体"/>
          <w:color w:val="auto"/>
          <w:highlight w:val="none"/>
          <w:lang w:val="en-US" w:eastAsia="zh-CN"/>
        </w:rPr>
        <w:t xml:space="preserve">项目属性：服务类项目。</w:t>
      </w:r>
      <w:bookmarkEnd w:id="181"/>
      <w:r/>
      <w:bookmarkEnd w:id="182"/>
      <w:r/>
      <w:r/>
    </w:p>
    <w:p>
      <w:pPr>
        <w:pStyle w:val="639"/>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一、项目概述</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bookmarkStart w:id="184" w:name="_Toc97295831"/>
      <w:r>
        <w:rPr>
          <w:rFonts w:hint="eastAsia" w:ascii="宋体" w:hAnsi="宋体" w:eastAsia="宋体" w:cs="宋体"/>
          <w:color w:val="auto"/>
          <w:sz w:val="24"/>
          <w:highlight w:val="none"/>
          <w:lang w:val="en-US" w:eastAsia="zh-CN"/>
        </w:rPr>
        <w:t xml:space="preserve">1、项目名称</w:t>
      </w:r>
      <w:bookmarkEnd w:id="184"/>
      <w:r>
        <w:rPr>
          <w:rFonts w:hint="eastAsia" w:ascii="宋体" w:hAnsi="宋体" w:eastAsia="宋体" w:cs="宋体"/>
          <w:color w:val="auto"/>
          <w:sz w:val="24"/>
          <w:highlight w:val="none"/>
          <w:lang w:val="en-US" w:eastAsia="zh-CN"/>
        </w:rPr>
        <w:t xml:space="preserve">：</w:t>
      </w:r>
      <w:r>
        <w:rPr>
          <w:rFonts w:hint="eastAsia" w:hAnsi="宋体" w:eastAsia="宋体" w:cs="宋体"/>
          <w:color w:val="auto"/>
          <w:sz w:val="24"/>
          <w:highlight w:val="none"/>
          <w:lang w:val="en-US" w:eastAsia="zh-CN"/>
        </w:rPr>
        <w:t xml:space="preserve">盐城市东台生态环境局东台河美丽河湖优秀案例申报项目（东台河美丽河湖建设成效评估）</w:t>
      </w:r>
      <w:r>
        <w:rPr>
          <w:rFonts w:hint="eastAsia" w:ascii="宋体" w:hAnsi="宋体" w:eastAsia="宋体" w:cs="宋体"/>
          <w:color w:val="auto"/>
          <w:sz w:val="24"/>
          <w:highlight w:val="none"/>
          <w:lang w:val="en-US" w:eastAsia="zh-CN"/>
        </w:rPr>
        <w:t xml:space="preserve">。</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bookmarkStart w:id="185" w:name="_Toc97295832"/>
      <w:r>
        <w:rPr>
          <w:rFonts w:hint="eastAsia" w:ascii="宋体" w:hAnsi="宋体" w:eastAsia="宋体" w:cs="宋体"/>
          <w:color w:val="auto"/>
          <w:sz w:val="24"/>
          <w:highlight w:val="none"/>
          <w:lang w:val="en-US" w:eastAsia="zh-CN"/>
        </w:rPr>
        <w:t xml:space="preserve">2、项目背景：2022年12月，江苏省生态环境厅印发《省生</w:t>
      </w:r>
      <w:r>
        <w:rPr>
          <w:rFonts w:hint="eastAsia" w:ascii="宋体" w:hAnsi="宋体" w:eastAsia="宋体" w:cs="宋体"/>
          <w:color w:val="auto"/>
          <w:sz w:val="24"/>
          <w:highlight w:val="none"/>
          <w:lang w:val="en-US" w:eastAsia="zh-CN"/>
        </w:rPr>
        <w:t xml:space="preserve">态环境厅关于征集2022年美丽河湖优秀案例的函》（苏环函〔2022〕288号），开展首批省级美丽河湖优秀案例征集工作。2023年2月1日，江苏省生态环境厅印发《省生态环境厅关于推进江苏省美丽河湖保护与建设工作的通知》（苏环办〔2023〕27号）指出：2023年起，各设区市每年至少建成1处江苏省美丽河湖，省生态环境厅将积极选树优秀案例申报国家级美丽河湖，形成一批“有成效、能持续、可复制”的典型案例。全省每年组织一次美丽河湖优秀案例征集活动，各设区市于每年一季度组织开展辖区内美丽河湖创建评估及优秀案例申报工作。</w:t>
      </w:r>
      <w:bookmarkEnd w:id="185"/>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bookmarkStart w:id="186" w:name="_Toc97295833"/>
      <w:r>
        <w:rPr>
          <w:rFonts w:hint="eastAsia" w:ascii="宋体" w:hAnsi="宋体" w:eastAsia="宋体" w:cs="宋体"/>
          <w:color w:val="auto"/>
          <w:sz w:val="24"/>
          <w:highlight w:val="none"/>
          <w:lang w:val="en-US" w:eastAsia="zh-CN"/>
        </w:rPr>
        <w:t xml:space="preserve">3、建设目标：根据《江苏省美丽河湖保护与建设实施方案（征求意见稿）》（苏环便函〔2024〕246号）“附件：江苏省美丽河湖保护与建设任务清单”，东台河被列入江苏省2025年建设清单内。通过采购技术服务的方式，根据《省生态环境厅关于征集2022年美丽河湖优秀案例的函》（苏环函〔2022〕288号）、《</w:t>
      </w:r>
      <w:r>
        <w:rPr>
          <w:rFonts w:hint="eastAsia" w:ascii="宋体" w:hAnsi="宋体" w:eastAsia="宋体" w:cs="宋体"/>
          <w:color w:val="auto"/>
          <w:sz w:val="24"/>
          <w:highlight w:val="none"/>
          <w:lang w:val="en-US" w:eastAsia="zh-CN"/>
        </w:rPr>
        <w:t xml:space="preserve">省生态环境厅关于推进江苏省美丽河湖保护与建设工作的通知》（苏环办〔2023〕27号）、《关于印发&lt;江苏省美丽河湖保护与建设实施指导方案&gt;的通知》（苏污防攻坚指办〔2024〕27号）、《省生态环境厅关于组织开展2024年度美丽河湖成效评估的通知》（苏环办〔2024〕280号）、国家生态环境部《关于开展第四批美丽河湖、美丽海湾优秀案例征集活动的通知》（环办水体函〔2025〕212号），结合东台河实际，完成东台河美丽河湖建设成效评估，对东台河美丽河湖建设好经验、好做法进行梳理提炼形成美丽河湖优秀案例案例申报材料。</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4、项目目的：</w:t>
      </w:r>
      <w:r>
        <w:rPr>
          <w:rFonts w:hint="eastAsia" w:hAnsi="宋体" w:eastAsia="宋体" w:cs="宋体"/>
          <w:color w:val="auto"/>
          <w:sz w:val="24"/>
          <w:highlight w:val="none"/>
          <w:lang w:val="en-US" w:eastAsia="zh-CN"/>
        </w:rPr>
        <w:t xml:space="preserve">完成东台河美丽河湖建设成效评估工作以及优秀案例申报材料编制</w:t>
      </w:r>
      <w:r>
        <w:rPr>
          <w:rFonts w:hint="eastAsia" w:ascii="宋体" w:hAnsi="宋体" w:eastAsia="宋体" w:cs="宋体"/>
          <w:color w:val="auto"/>
          <w:sz w:val="24"/>
          <w:highlight w:val="none"/>
          <w:lang w:val="en-US" w:eastAsia="zh-CN"/>
        </w:rPr>
        <w:t xml:space="preserve">。</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5、预算金额：人民币</w:t>
      </w:r>
      <w:r>
        <w:rPr>
          <w:rFonts w:hint="eastAsia" w:hAnsi="宋体" w:eastAsia="宋体" w:cs="宋体"/>
          <w:color w:val="auto"/>
          <w:sz w:val="24"/>
          <w:highlight w:val="none"/>
          <w:lang w:val="en-US" w:eastAsia="zh-CN"/>
        </w:rPr>
        <w:t xml:space="preserve">150</w:t>
      </w:r>
      <w:r>
        <w:rPr>
          <w:rFonts w:hint="eastAsia" w:ascii="宋体" w:hAnsi="宋体" w:eastAsia="宋体" w:cs="宋体"/>
          <w:color w:val="auto"/>
          <w:sz w:val="24"/>
          <w:highlight w:val="none"/>
          <w:lang w:val="en-US" w:eastAsia="zh-CN"/>
        </w:rPr>
        <w:t xml:space="preserve">万元。</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6、最高限价：人民币</w:t>
      </w:r>
      <w:r>
        <w:rPr>
          <w:rFonts w:hint="eastAsia" w:hAnsi="宋体" w:eastAsia="宋体" w:cs="宋体"/>
          <w:color w:val="auto"/>
          <w:sz w:val="24"/>
          <w:highlight w:val="none"/>
          <w:lang w:val="en-US" w:eastAsia="zh-CN"/>
        </w:rPr>
        <w:t xml:space="preserve">150</w:t>
      </w:r>
      <w:r>
        <w:rPr>
          <w:rFonts w:hint="eastAsia" w:ascii="宋体" w:hAnsi="宋体" w:eastAsia="宋体" w:cs="宋体"/>
          <w:color w:val="auto"/>
          <w:sz w:val="24"/>
          <w:highlight w:val="none"/>
          <w:lang w:val="en-US" w:eastAsia="zh-CN"/>
        </w:rPr>
        <w:t xml:space="preserve">万元。</w:t>
      </w:r>
      <w:bookmarkEnd w:id="186"/>
      <w:r/>
    </w:p>
    <w:p>
      <w:pPr>
        <w:pStyle w:val="639"/>
        <w:ind w:firstLine="482"/>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7、采购标的均所属</w:t>
      </w:r>
      <w:r>
        <w:rPr>
          <w:rFonts w:hint="eastAsia" w:ascii="宋体" w:hAnsi="宋体" w:eastAsia="宋体" w:cs="宋体"/>
          <w:b/>
          <w:bCs/>
          <w:color w:val="auto"/>
          <w:sz w:val="24"/>
          <w:highlight w:val="none"/>
          <w:u w:val="single"/>
          <w:lang w:val="en-US" w:eastAsia="zh-CN"/>
        </w:rPr>
        <w:t xml:space="preserve"> 其他未列明行业 </w:t>
      </w:r>
      <w:r>
        <w:rPr>
          <w:rFonts w:hint="eastAsia" w:ascii="宋体" w:hAnsi="宋体" w:eastAsia="宋体" w:cs="宋体"/>
          <w:b/>
          <w:bCs/>
          <w:color w:val="auto"/>
          <w:sz w:val="24"/>
          <w:highlight w:val="none"/>
          <w:lang w:val="en-US" w:eastAsia="zh-CN"/>
        </w:rPr>
        <w:t xml:space="preserve">，根据《工业和信息化部、国家统计局、国家发展和改革委员会、财政部关于印发中小企业划型标准规定的通知》（工信部联企业[2011]300号）规定的划分标准填写。</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8、项目</w:t>
      </w:r>
      <w:r>
        <w:rPr>
          <w:rFonts w:hint="eastAsia" w:ascii="宋体" w:hAnsi="宋体" w:eastAsia="宋体" w:cs="宋体"/>
          <w:color w:val="auto"/>
          <w:sz w:val="24"/>
          <w:highlight w:val="none"/>
          <w:lang w:val="zh-CN" w:eastAsia="zh-CN"/>
        </w:rPr>
        <w:t xml:space="preserve">清单</w:t>
      </w:r>
      <w:r/>
    </w:p>
    <w:tbl>
      <w:tblPr>
        <w:tblStyle w:val="6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3782"/>
        <w:gridCol w:w="3178"/>
        <w:gridCol w:w="1069"/>
        <w:gridCol w:w="1090"/>
      </w:tblGrid>
      <w:tr>
        <w:trPr>
          <w:trHeight w:val="567"/>
        </w:trPr>
        <w:tc>
          <w:tcPr>
            <w:tcW w:w="423"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序号</w:t>
            </w:r>
            <w:r/>
          </w:p>
        </w:tc>
        <w:tc>
          <w:tcPr>
            <w:tcW w:w="1897"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标的名称</w:t>
            </w:r>
            <w:r/>
          </w:p>
        </w:tc>
        <w:tc>
          <w:tcPr>
            <w:tcW w:w="1594"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品目</w:t>
            </w:r>
            <w:r/>
          </w:p>
        </w:tc>
        <w:tc>
          <w:tcPr>
            <w:tcW w:w="536"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数量</w:t>
            </w:r>
            <w:r/>
          </w:p>
        </w:tc>
        <w:tc>
          <w:tcPr>
            <w:tcW w:w="547"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单位</w:t>
            </w:r>
            <w:r/>
          </w:p>
        </w:tc>
      </w:tr>
      <w:tr>
        <w:trPr>
          <w:trHeight w:val="567"/>
        </w:trPr>
        <w:tc>
          <w:tcPr>
            <w:tcW w:w="423"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1</w:t>
            </w:r>
            <w:r/>
          </w:p>
        </w:tc>
        <w:tc>
          <w:tcPr>
            <w:tcW w:w="1897"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zh-CN" w:eastAsia="zh-CN"/>
              </w:rPr>
            </w:pPr>
            <w:r>
              <w:rPr>
                <w:rFonts w:hint="eastAsia" w:hAnsi="宋体" w:eastAsia="宋体" w:cs="宋体"/>
                <w:color w:val="auto"/>
                <w:sz w:val="24"/>
                <w:highlight w:val="none"/>
                <w:lang w:val="zh-CN" w:eastAsia="zh-CN"/>
              </w:rPr>
              <w:t xml:space="preserve">盐城市东台生态环境局东台河美丽河湖优秀案例申报项目（东台河美丽河湖建设成效评估）</w:t>
            </w:r>
            <w:r/>
          </w:p>
        </w:tc>
        <w:tc>
          <w:tcPr>
            <w:tcW w:w="1594"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C07019900</w:t>
            </w:r>
            <w:r/>
          </w:p>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其他生态环境保护服务</w:t>
            </w:r>
            <w:r/>
          </w:p>
        </w:tc>
        <w:tc>
          <w:tcPr>
            <w:tcW w:w="536"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547" w:type="pct"/>
            <w:vAlign w:val="center"/>
            <w:textDirection w:val="lrTb"/>
            <w:noWrap w:val="false"/>
          </w:tcPr>
          <w:p>
            <w:pPr>
              <w:pStyle w:val="639"/>
              <w:ind w:firstLine="0"/>
              <w:jc w:val="cente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w:t>
            </w:r>
            <w:r/>
          </w:p>
        </w:tc>
      </w:tr>
    </w:tbl>
    <w:p>
      <w:pPr>
        <w:pStyle w:val="639"/>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二、项目执行的相关标准</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满足招标文件采购需求开展，并符合现行国家相关标准、行业标准、地方标准或者其他标准、规范。</w:t>
      </w:r>
      <w:r/>
    </w:p>
    <w:p>
      <w:pPr>
        <w:pStyle w:val="639"/>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三、技术要求及服务工作要求</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（一）</w:t>
      </w:r>
      <w:r>
        <w:rPr>
          <w:rFonts w:hint="eastAsia" w:ascii="宋体" w:hAnsi="宋体" w:eastAsia="宋体" w:cs="宋体"/>
          <w:color w:val="auto"/>
          <w:sz w:val="24"/>
          <w:highlight w:val="none"/>
          <w:lang w:val="en-US" w:eastAsia="zh-CN"/>
        </w:rPr>
        <w:t xml:space="preserve">工作内容</w:t>
      </w:r>
      <w:r/>
    </w:p>
    <w:p>
      <w:pPr>
        <w:pStyle w:val="639"/>
        <w:ind w:firstLine="482"/>
        <w:spacing w:line="440" w:lineRule="exact"/>
        <w:rPr>
          <w:rFonts w:hint="eastAsia" w:hAnsi="宋体" w:eastAsia="宋体"/>
          <w:b/>
          <w:bCs/>
          <w:color w:val="auto"/>
          <w:highlight w:val="none"/>
          <w:lang w:val="zh-CN"/>
        </w:rPr>
      </w:pPr>
      <w:r>
        <w:rPr>
          <w:rFonts w:hint="eastAsia" w:hAnsi="宋体" w:eastAsia="宋体"/>
          <w:b/>
          <w:bCs/>
          <w:color w:val="auto"/>
          <w:highlight w:val="none"/>
          <w:lang w:val="en-US" w:eastAsia="zh-CN"/>
        </w:rPr>
        <w:t xml:space="preserve">1</w:t>
      </w:r>
      <w:r>
        <w:rPr>
          <w:rFonts w:hint="eastAsia" w:hAnsi="宋体" w:eastAsia="宋体"/>
          <w:b/>
          <w:bCs/>
          <w:color w:val="auto"/>
          <w:highlight w:val="none"/>
        </w:rPr>
        <w:t xml:space="preserve">、</w:t>
      </w:r>
      <w:r>
        <w:rPr>
          <w:rFonts w:hint="eastAsia" w:hAnsi="宋体" w:eastAsia="宋体"/>
          <w:b/>
          <w:bCs/>
          <w:color w:val="auto"/>
          <w:highlight w:val="none"/>
          <w:lang w:val="zh-CN"/>
        </w:rPr>
        <w:t xml:space="preserve">水生态专项调查评估</w:t>
      </w:r>
      <w:r/>
    </w:p>
    <w:p>
      <w:pPr>
        <w:pStyle w:val="639"/>
        <w:ind w:firstLine="480"/>
        <w:spacing w:line="440" w:lineRule="exact"/>
        <w:rPr>
          <w:rFonts w:hint="eastAsia" w:hAnsi="宋体" w:eastAsia="宋体"/>
          <w:color w:val="auto"/>
          <w:highlight w:val="none"/>
          <w:lang w:val="zh-CN"/>
        </w:rPr>
      </w:pPr>
      <w:r>
        <w:rPr>
          <w:rFonts w:hint="eastAsia" w:hAnsi="宋体" w:eastAsia="宋体"/>
          <w:color w:val="auto"/>
          <w:highlight w:val="none"/>
          <w:lang w:val="zh-CN"/>
        </w:rPr>
        <w:t xml:space="preserve">水生态调查评估是水生态考核的前行条件，为推进水生生物保护恢复、实现美丽河湖建设提供重要科学依据。结合《美丽河湖保护与建设参考指标（试行）》（环办水体函〔2022〕416号）《江苏省美丽河湖保护与建设管理办法（试行）》，《</w:t>
      </w:r>
      <w:r>
        <w:rPr>
          <w:rFonts w:hint="eastAsia" w:hAnsi="宋体" w:eastAsia="宋体"/>
          <w:color w:val="auto"/>
          <w:highlight w:val="none"/>
        </w:rPr>
        <w:t xml:space="preserve">江苏省美丽河湖评价技术指南（试行）</w:t>
      </w:r>
      <w:r>
        <w:rPr>
          <w:rFonts w:hint="eastAsia" w:hAnsi="宋体" w:eastAsia="宋体"/>
          <w:color w:val="auto"/>
          <w:highlight w:val="none"/>
          <w:lang w:val="zh-CN"/>
        </w:rPr>
        <w:t xml:space="preserve">》（</w:t>
      </w:r>
      <w:r>
        <w:rPr>
          <w:rFonts w:hint="eastAsia" w:hAnsi="宋体" w:eastAsia="宋体"/>
          <w:color w:val="auto"/>
          <w:highlight w:val="none"/>
        </w:rPr>
        <w:t xml:space="preserve">如有最新要求，以最新要求为准</w:t>
      </w:r>
      <w:r>
        <w:rPr>
          <w:rFonts w:hint="eastAsia" w:hAnsi="宋体" w:eastAsia="宋体"/>
          <w:color w:val="auto"/>
          <w:highlight w:val="none"/>
          <w:lang w:val="zh-CN"/>
        </w:rPr>
        <w:t xml:space="preserve">）针对水生态底数不清等问题，开展水生态基础状况调查评估，摸清东台河“水生态家底”，科学、客观反映东台河水生态环境质量，支撑美丽河湖建设和水生态考核等工作。</w:t>
      </w:r>
      <w:r/>
    </w:p>
    <w:p>
      <w:pPr>
        <w:pStyle w:val="639"/>
        <w:ind w:firstLine="480"/>
        <w:spacing w:line="440" w:lineRule="exact"/>
        <w:rPr>
          <w:rFonts w:hint="eastAsia" w:hAnsi="宋体" w:eastAsia="宋体"/>
          <w:color w:val="auto"/>
          <w:highlight w:val="none"/>
          <w:lang w:val="zh-CN"/>
        </w:rPr>
      </w:pPr>
      <w:r>
        <w:rPr>
          <w:rFonts w:hint="eastAsia" w:hAnsi="宋体" w:eastAsia="宋体"/>
          <w:color w:val="auto"/>
          <w:highlight w:val="none"/>
          <w:lang w:val="zh-CN"/>
        </w:rPr>
        <w:t xml:space="preserve">材料内容：结合东台河实际情况，开展水生态专项调查评估。水生态专项调查内容需要涵盖鱼类、大型底栖无脊椎动物、浮游植物、浮游动物、着生藻类、水生维管植物等水生生物类群，评价指标包括种类、密度、生物量、优势种、多样性评价等要素。根据河流长度，设置至少3个监测点位，监测频次为一年两次，春季监测于4-5月进行，秋季监测于9-1</w:t>
      </w:r>
      <w:r>
        <w:rPr>
          <w:rFonts w:hint="eastAsia" w:hAnsi="宋体" w:eastAsia="宋体"/>
          <w:color w:val="auto"/>
          <w:highlight w:val="none"/>
          <w:lang w:val="en-US" w:eastAsia="zh-CN"/>
        </w:rPr>
        <w:t xml:space="preserve">1</w:t>
      </w:r>
      <w:r>
        <w:rPr>
          <w:rFonts w:hint="eastAsia" w:hAnsi="宋体" w:eastAsia="宋体"/>
          <w:color w:val="auto"/>
          <w:highlight w:val="none"/>
          <w:lang w:val="zh-CN"/>
        </w:rPr>
        <w:t xml:space="preserve">月进行。</w:t>
      </w:r>
      <w:r/>
    </w:p>
    <w:p>
      <w:pPr>
        <w:pStyle w:val="639"/>
        <w:ind w:firstLine="480"/>
        <w:spacing w:line="440" w:lineRule="exact"/>
        <w:rPr>
          <w:rFonts w:hint="eastAsia" w:hAnsi="宋体" w:eastAsia="宋体"/>
          <w:color w:val="auto"/>
          <w:highlight w:val="none"/>
          <w:lang w:val="zh-CN"/>
        </w:rPr>
      </w:pPr>
      <w:r>
        <w:rPr>
          <w:rFonts w:hint="eastAsia" w:hAnsi="宋体" w:eastAsia="宋体"/>
          <w:color w:val="auto"/>
          <w:highlight w:val="none"/>
          <w:lang w:val="zh-CN"/>
        </w:rPr>
        <w:t xml:space="preserve">成果提交形式：提供东台河水生态专项调查报告和水生态调查各水生生物类群原始数据集。</w:t>
      </w:r>
      <w:r/>
    </w:p>
    <w:p>
      <w:pPr>
        <w:pStyle w:val="639"/>
        <w:ind w:firstLine="482"/>
        <w:spacing w:line="440" w:lineRule="exact"/>
        <w:rPr>
          <w:rFonts w:hint="eastAsia" w:hAnsi="宋体" w:eastAsia="宋体"/>
          <w:b/>
          <w:bCs/>
          <w:color w:val="auto"/>
          <w:highlight w:val="none"/>
          <w:lang w:val="zh-CN"/>
        </w:rPr>
      </w:pPr>
      <w:r>
        <w:rPr>
          <w:rFonts w:hint="eastAsia" w:hAnsi="宋体" w:eastAsia="宋体"/>
          <w:b/>
          <w:bCs/>
          <w:color w:val="auto"/>
          <w:highlight w:val="none"/>
          <w:lang w:val="en-US" w:eastAsia="zh-CN"/>
        </w:rPr>
        <w:t xml:space="preserve">2</w:t>
      </w:r>
      <w:r>
        <w:rPr>
          <w:rFonts w:hint="eastAsia" w:hAnsi="宋体" w:eastAsia="宋体"/>
          <w:b/>
          <w:bCs/>
          <w:color w:val="auto"/>
          <w:highlight w:val="none"/>
        </w:rPr>
        <w:t xml:space="preserve">、</w:t>
      </w:r>
      <w:r>
        <w:rPr>
          <w:rFonts w:hint="eastAsia" w:hAnsi="宋体" w:eastAsia="宋体"/>
          <w:b/>
          <w:bCs/>
          <w:color w:val="auto"/>
          <w:highlight w:val="none"/>
          <w:lang w:val="zh-CN"/>
        </w:rPr>
        <w:t xml:space="preserve">美丽河湖</w:t>
      </w:r>
      <w:r>
        <w:rPr>
          <w:rFonts w:hint="eastAsia" w:hAnsi="宋体" w:eastAsia="宋体"/>
          <w:b/>
          <w:bCs/>
          <w:color w:val="auto"/>
          <w:highlight w:val="none"/>
          <w:lang w:val="en-US" w:eastAsia="zh-CN"/>
        </w:rPr>
        <w:t xml:space="preserve">建设</w:t>
      </w:r>
      <w:r>
        <w:rPr>
          <w:rFonts w:hint="eastAsia" w:hAnsi="宋体" w:eastAsia="宋体"/>
          <w:b/>
          <w:bCs/>
          <w:color w:val="auto"/>
          <w:highlight w:val="none"/>
          <w:lang w:val="zh-CN"/>
        </w:rPr>
        <w:t xml:space="preserve">成效评估</w:t>
      </w:r>
      <w:r/>
    </w:p>
    <w:p>
      <w:pPr>
        <w:pStyle w:val="639"/>
        <w:ind w:firstLine="480"/>
        <w:spacing w:line="440" w:lineRule="exact"/>
        <w:rPr>
          <w:rFonts w:hint="default" w:hAnsi="宋体" w:eastAsia="宋体"/>
          <w:color w:val="auto"/>
          <w:highlight w:val="none"/>
          <w:lang w:val="en-US" w:eastAsia="zh-CN"/>
        </w:rPr>
      </w:pPr>
      <w:r>
        <w:rPr>
          <w:rFonts w:hint="eastAsia" w:hAnsi="宋体" w:eastAsia="宋体"/>
          <w:color w:val="auto"/>
          <w:highlight w:val="none"/>
        </w:rPr>
        <w:t xml:space="preserve">《江苏省美丽河湖保护与建设实施方案（征求意见稿）》（苏环便函〔2024〕246号）“附件：江苏省美丽河湖保护与建设任务清单”，东台河被列入江苏省2025年建设清单内</w:t>
      </w:r>
      <w:r>
        <w:rPr>
          <w:rFonts w:hint="eastAsia" w:hAnsi="宋体" w:eastAsia="宋体"/>
          <w:color w:val="auto"/>
          <w:highlight w:val="none"/>
          <w:lang w:eastAsia="zh-CN"/>
        </w:rPr>
        <w:t xml:space="preserve">，</w:t>
      </w:r>
      <w:r>
        <w:rPr>
          <w:rFonts w:hint="eastAsia" w:hAnsi="宋体" w:eastAsia="宋体"/>
          <w:color w:val="auto"/>
          <w:highlight w:val="none"/>
          <w:lang w:val="zh-CN"/>
        </w:rPr>
        <w:t xml:space="preserve">需开展美丽河湖成效评估。根据《省生态环境厅关于征集2022年美丽河湖优秀案例的函》（苏环函〔2022〕288号）、《省生态环境厅关于推进江苏省美丽河湖保护与建设工作的通知》（苏环办〔2023〕27号）、</w:t>
      </w:r>
      <w:r>
        <w:rPr>
          <w:rFonts w:hint="eastAsia" w:hAnsi="宋体" w:eastAsia="宋体"/>
          <w:color w:val="auto"/>
          <w:highlight w:val="none"/>
        </w:rPr>
        <w:t xml:space="preserve">《关于印发&lt;江苏省美丽河湖保护与建设实施指导方案&gt;的通知》（苏污防攻坚指办〔2024〕27号）</w:t>
      </w:r>
      <w:r>
        <w:rPr>
          <w:rFonts w:hint="eastAsia" w:hAnsi="宋体" w:eastAsia="宋体"/>
          <w:color w:val="auto"/>
          <w:highlight w:val="none"/>
          <w:lang w:eastAsia="zh-CN"/>
        </w:rPr>
        <w:t xml:space="preserve">、</w:t>
      </w:r>
      <w:r>
        <w:rPr>
          <w:rFonts w:hint="eastAsia" w:hAnsi="宋体" w:eastAsia="宋体"/>
          <w:color w:val="auto"/>
          <w:highlight w:val="none"/>
          <w:lang w:val="zh-CN"/>
        </w:rPr>
        <w:t xml:space="preserve">《省生态环境厅关于组织开展2024年度美丽河湖成效评估的通知》（苏环办〔2024〕280号）</w:t>
      </w:r>
      <w:r>
        <w:rPr>
          <w:rFonts w:hint="eastAsia" w:hAnsi="宋体" w:eastAsia="宋体"/>
          <w:color w:val="auto"/>
          <w:highlight w:val="none"/>
          <w:lang w:val="en-US" w:eastAsia="zh-CN"/>
        </w:rPr>
        <w:t xml:space="preserve">等</w:t>
      </w:r>
      <w:r>
        <w:rPr>
          <w:rFonts w:hint="eastAsia" w:hAnsi="宋体" w:eastAsia="宋体"/>
          <w:color w:val="auto"/>
          <w:highlight w:val="none"/>
          <w:lang w:val="zh-CN"/>
        </w:rPr>
        <w:t xml:space="preserve">相关文件要求（如相关通知文件有更新，以最新通知文件要求为准）</w:t>
      </w:r>
      <w:r>
        <w:rPr>
          <w:rFonts w:hint="eastAsia" w:hAnsi="宋体" w:eastAsia="宋体"/>
          <w:color w:val="auto"/>
          <w:highlight w:val="none"/>
          <w:lang w:val="en-US" w:eastAsia="zh-CN"/>
        </w:rPr>
        <w:t xml:space="preserve">开展评估工作。</w:t>
      </w:r>
      <w:r/>
    </w:p>
    <w:p>
      <w:pPr>
        <w:pStyle w:val="639"/>
        <w:ind w:firstLine="480"/>
        <w:spacing w:line="440" w:lineRule="exact"/>
        <w:rPr>
          <w:rFonts w:hint="eastAsia" w:hAnsi="宋体" w:eastAsia="宋体"/>
          <w:color w:val="auto"/>
          <w:highlight w:val="none"/>
          <w:lang w:val="zh-CN"/>
        </w:rPr>
      </w:pPr>
      <w:r>
        <w:rPr>
          <w:rFonts w:hint="eastAsia" w:hAnsi="宋体" w:eastAsia="宋体"/>
          <w:color w:val="auto"/>
          <w:highlight w:val="none"/>
          <w:lang w:val="zh-CN"/>
        </w:rPr>
        <w:t xml:space="preserve">材料内容：结合东台河实际，分别从“基本建设情况”（包括“水资源”、“水生态”、“水环境”）、“特色亮点工作”（包括“有成效”、“能持续”、“可复制”）两部分开展成效评估工作，总结美丽河湖保护与建设工作成效，报送评估表、自评价报告及有关影像资料。</w:t>
      </w:r>
      <w:r/>
    </w:p>
    <w:p>
      <w:pPr>
        <w:pStyle w:val="639"/>
        <w:ind w:firstLine="480"/>
        <w:spacing w:line="440" w:lineRule="exact"/>
        <w:rPr>
          <w:rFonts w:hint="eastAsia" w:hAnsi="宋体" w:eastAsia="宋体"/>
          <w:color w:val="auto"/>
          <w:highlight w:val="none"/>
          <w:lang w:val="zh-CN"/>
        </w:rPr>
      </w:pPr>
      <w:r>
        <w:rPr>
          <w:rFonts w:hint="eastAsia" w:hAnsi="宋体" w:eastAsia="宋体"/>
          <w:color w:val="auto"/>
          <w:highlight w:val="none"/>
          <w:lang w:val="zh-CN"/>
        </w:rPr>
        <w:t xml:space="preserve">成果提交形式：根据省级通知文件要求按时提交东台河美丽河湖建设成效评估表、东台河美丽河湖建设成效自评报告、公众评价材料、影像资料（包括治理前后对比的代表性图片（不超过10组）、3—5分钟视频短片及相关佐证材料）</w:t>
      </w:r>
      <w:r>
        <w:rPr>
          <w:rFonts w:hint="eastAsia" w:hAnsi="宋体" w:eastAsia="宋体"/>
          <w:color w:val="auto"/>
          <w:highlight w:val="none"/>
          <w:lang w:val="en-US" w:eastAsia="zh-CN"/>
        </w:rPr>
        <w:t xml:space="preserve">等评估材料，</w:t>
      </w:r>
      <w:r>
        <w:rPr>
          <w:rFonts w:hint="eastAsia" w:hAnsi="宋体" w:eastAsia="宋体"/>
          <w:color w:val="auto"/>
          <w:highlight w:val="none"/>
          <w:lang w:val="zh-CN"/>
        </w:rPr>
        <w:t xml:space="preserve">并根据审核意见修订完善。</w:t>
      </w:r>
      <w:r/>
    </w:p>
    <w:p>
      <w:pPr>
        <w:pStyle w:val="639"/>
        <w:ind w:firstLine="482"/>
        <w:spacing w:line="440" w:lineRule="exact"/>
        <w:rPr>
          <w:rFonts w:hint="default" w:hAnsi="宋体" w:eastAsia="宋体"/>
          <w:b/>
          <w:bCs/>
          <w:color w:val="auto"/>
          <w:highlight w:val="none"/>
          <w:lang w:val="en-US" w:eastAsia="zh-CN"/>
        </w:rPr>
      </w:pPr>
      <w:r>
        <w:rPr>
          <w:rFonts w:hint="eastAsia" w:hAnsi="宋体" w:eastAsia="宋体"/>
          <w:b/>
          <w:bCs/>
          <w:color w:val="auto"/>
          <w:highlight w:val="none"/>
          <w:lang w:val="en-US" w:eastAsia="zh-CN"/>
        </w:rPr>
        <w:t xml:space="preserve">3</w:t>
      </w:r>
      <w:r>
        <w:rPr>
          <w:rFonts w:hint="eastAsia" w:hAnsi="宋体" w:eastAsia="宋体"/>
          <w:b/>
          <w:bCs/>
          <w:color w:val="auto"/>
          <w:highlight w:val="none"/>
        </w:rPr>
        <w:t xml:space="preserve">、</w:t>
      </w:r>
      <w:r>
        <w:rPr>
          <w:rFonts w:hint="eastAsia" w:hAnsi="宋体" w:eastAsia="宋体"/>
          <w:b/>
          <w:bCs/>
          <w:color w:val="auto"/>
          <w:highlight w:val="none"/>
          <w:lang w:val="zh-CN"/>
        </w:rPr>
        <w:t xml:space="preserve">美丽河湖优秀案例</w:t>
      </w:r>
      <w:r>
        <w:rPr>
          <w:rFonts w:hint="eastAsia" w:hAnsi="宋体" w:eastAsia="宋体"/>
          <w:b/>
          <w:bCs/>
          <w:color w:val="auto"/>
          <w:highlight w:val="none"/>
          <w:lang w:val="en-US" w:eastAsia="zh-CN"/>
        </w:rPr>
        <w:t xml:space="preserve">申报材料编制</w:t>
      </w:r>
      <w:r/>
    </w:p>
    <w:p>
      <w:pPr>
        <w:pStyle w:val="639"/>
        <w:ind w:firstLine="480"/>
        <w:spacing w:line="440" w:lineRule="exact"/>
        <w:rPr>
          <w:rFonts w:hint="default" w:hAnsi="宋体" w:eastAsia="宋体"/>
          <w:color w:val="auto"/>
          <w:highlight w:val="none"/>
          <w:lang w:val="en-US"/>
        </w:rPr>
      </w:pPr>
      <w:r>
        <w:rPr>
          <w:rFonts w:hint="eastAsia" w:asciiTheme="minorEastAsia" w:hAnsiTheme="minorEastAsia" w:cstheme="minorEastAsia"/>
          <w:sz w:val="24"/>
          <w:szCs w:val="24"/>
          <w:highlight w:val="none"/>
          <w:lang w:val="en-US" w:eastAsia="zh-CN"/>
        </w:rPr>
        <w:t xml:space="preserve">根据国家生态环境部《关于开展第四批美丽河湖、美丽海湾优秀案例征集活动的通知》（环办水体函</w:t>
      </w: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212</w:t>
      </w:r>
      <w:r>
        <w:rPr>
          <w:rFonts w:hint="eastAsia" w:ascii="宋体" w:hAnsi="宋体" w:eastAsia="宋体" w:cs="宋体"/>
          <w:color w:val="000000"/>
          <w:highlight w:val="none"/>
        </w:rPr>
        <w:t xml:space="preserve">号</w:t>
      </w:r>
      <w:r>
        <w:rPr>
          <w:rFonts w:hint="eastAsia" w:asciiTheme="minorEastAsia" w:hAnsiTheme="minorEastAsia" w:cstheme="minorEastAsia"/>
          <w:sz w:val="24"/>
          <w:szCs w:val="24"/>
          <w:highlight w:val="none"/>
          <w:lang w:val="en-US" w:eastAsia="zh-CN"/>
        </w:rPr>
        <w:t xml:space="preserve">）文件要求</w:t>
      </w:r>
      <w:r>
        <w:rPr>
          <w:rFonts w:hint="eastAsia" w:hAnsi="宋体" w:eastAsia="宋体"/>
          <w:color w:val="auto"/>
          <w:highlight w:val="none"/>
          <w:lang w:val="zh-CN"/>
        </w:rPr>
        <w:t xml:space="preserve">（如相关通知文件有更新，以最新通知文件要求为准）</w:t>
      </w:r>
      <w:r>
        <w:rPr>
          <w:rFonts w:hint="eastAsia" w:asciiTheme="minorEastAsia" w:hAnsiTheme="minorEastAsia" w:cstheme="minorEastAsia"/>
          <w:sz w:val="24"/>
          <w:szCs w:val="24"/>
          <w:highlight w:val="none"/>
          <w:lang w:val="en-US" w:eastAsia="zh-CN"/>
        </w:rPr>
        <w:t xml:space="preserve">，梳理凝练形成优秀案例申报材料。</w:t>
      </w:r>
      <w:r/>
    </w:p>
    <w:p>
      <w:pPr>
        <w:pStyle w:val="639"/>
        <w:ind w:firstLine="480"/>
        <w:spacing w:line="440" w:lineRule="exact"/>
        <w:rPr>
          <w:rFonts w:hint="eastAsia" w:hAnsi="宋体" w:eastAsia="宋体"/>
          <w:color w:val="auto"/>
          <w:highlight w:val="none"/>
          <w:lang w:val="zh-CN"/>
        </w:rPr>
      </w:pPr>
      <w:r>
        <w:rPr>
          <w:rFonts w:hint="eastAsia" w:hAnsi="宋体" w:eastAsia="宋体"/>
          <w:color w:val="auto"/>
          <w:highlight w:val="none"/>
          <w:lang w:val="zh-CN"/>
        </w:rPr>
        <w:t xml:space="preserve">材料内容：结合东台河</w:t>
      </w:r>
      <w:r>
        <w:rPr>
          <w:rFonts w:hint="eastAsia" w:hAnsi="宋体" w:eastAsia="宋体"/>
          <w:color w:val="auto"/>
          <w:highlight w:val="none"/>
          <w:lang w:val="en-US" w:eastAsia="zh-CN"/>
        </w:rPr>
        <w:t xml:space="preserve">美丽河湖创建工作</w:t>
      </w:r>
      <w:r>
        <w:rPr>
          <w:rFonts w:hint="eastAsia" w:hAnsi="宋体" w:eastAsia="宋体"/>
          <w:color w:val="auto"/>
          <w:highlight w:val="none"/>
          <w:lang w:val="zh-CN"/>
        </w:rPr>
        <w:t xml:space="preserve">实际，开展申报材料编制工作，材料应突出水资源、水生态和水环境等方面（或其中特别突出的某一方面）保护和治理的好经验、好做法。按照突出问题、主要做法、治理成效和经验启示等四个部分对案例材料进行总结提炼。</w:t>
      </w:r>
      <w:r/>
    </w:p>
    <w:p>
      <w:pPr>
        <w:pStyle w:val="639"/>
        <w:ind w:firstLine="480"/>
        <w:spacing w:line="440" w:lineRule="exact"/>
        <w:rPr>
          <w:rFonts w:hint="eastAsia" w:hAnsi="宋体" w:eastAsia="宋体"/>
          <w:color w:val="auto"/>
          <w:highlight w:val="none"/>
          <w:lang w:val="zh-CN"/>
        </w:rPr>
      </w:pPr>
      <w:r>
        <w:rPr>
          <w:rFonts w:hint="eastAsia" w:hAnsi="宋体" w:eastAsia="宋体"/>
          <w:color w:val="auto"/>
          <w:highlight w:val="none"/>
          <w:lang w:val="zh-CN"/>
        </w:rPr>
        <w:t xml:space="preserve">材料</w:t>
      </w:r>
      <w:r>
        <w:rPr>
          <w:rFonts w:hint="eastAsia" w:hAnsi="宋体" w:eastAsia="宋体"/>
          <w:color w:val="auto"/>
          <w:highlight w:val="none"/>
        </w:rPr>
        <w:t xml:space="preserve">提交形式</w:t>
      </w:r>
      <w:r>
        <w:rPr>
          <w:rFonts w:hint="eastAsia" w:hAnsi="宋体" w:eastAsia="宋体"/>
          <w:color w:val="auto"/>
          <w:highlight w:val="none"/>
          <w:lang w:val="zh-CN"/>
        </w:rPr>
        <w:t xml:space="preserve">：一是代表性图片（数量不超过 10 组的治理前后对比图片，像素不低于1920x1080，图片大小不低于4M,使用JPEG、JPG、PNG等格式）。二是视频短片（时长3一5分钟，采用MP4格式分辨率不低于1080P）。三是文字材料（</w:t>
      </w:r>
      <w:r>
        <w:rPr>
          <w:rFonts w:hint="eastAsia" w:hAnsi="宋体" w:eastAsia="宋体"/>
          <w:color w:val="auto"/>
          <w:highlight w:val="none"/>
          <w:lang w:val="en-US" w:eastAsia="zh-CN"/>
        </w:rPr>
        <w:t xml:space="preserve">正文3</w:t>
      </w:r>
      <w:r>
        <w:rPr>
          <w:rFonts w:hint="eastAsia" w:hAnsi="宋体" w:eastAsia="宋体"/>
          <w:color w:val="auto"/>
          <w:highlight w:val="none"/>
          <w:lang w:val="zh-CN"/>
        </w:rPr>
        <w:t xml:space="preserve">000字以内，使用Word 格式），应突出重点和特色，具有较强可读性并使用量化数据。根据</w:t>
      </w:r>
      <w:r>
        <w:rPr>
          <w:rFonts w:hint="eastAsia" w:hAnsi="宋体" w:eastAsia="宋体"/>
          <w:color w:val="auto"/>
          <w:highlight w:val="none"/>
          <w:lang w:val="en-US" w:eastAsia="zh-CN"/>
        </w:rPr>
        <w:t xml:space="preserve">国家</w:t>
      </w:r>
      <w:r>
        <w:rPr>
          <w:rFonts w:hint="eastAsia" w:hAnsi="宋体" w:eastAsia="宋体"/>
          <w:color w:val="auto"/>
          <w:highlight w:val="none"/>
          <w:lang w:val="zh-CN"/>
        </w:rPr>
        <w:t xml:space="preserve">通知文件要求按时提交</w:t>
      </w:r>
      <w:r>
        <w:rPr>
          <w:rFonts w:hint="eastAsia" w:hAnsi="宋体" w:eastAsia="宋体"/>
          <w:color w:val="auto"/>
          <w:highlight w:val="none"/>
          <w:lang w:val="en-US" w:eastAsia="zh-CN"/>
        </w:rPr>
        <w:t xml:space="preserve">优秀案例</w:t>
      </w:r>
      <w:r>
        <w:rPr>
          <w:rFonts w:hint="eastAsia" w:hAnsi="宋体" w:eastAsia="宋体"/>
          <w:color w:val="auto"/>
          <w:highlight w:val="none"/>
          <w:lang w:val="zh-CN"/>
        </w:rPr>
        <w:t xml:space="preserve">材料，并根据审核意见修订完善申报材料。</w:t>
      </w:r>
      <w:r/>
    </w:p>
    <w:p>
      <w:pPr>
        <w:pStyle w:val="639"/>
        <w:ind w:firstLine="480"/>
        <w:keepLines w:val="0"/>
        <w:keepNext w:val="0"/>
        <w:pageBreakBefore w:val="0"/>
        <w:spacing w:line="440" w:lineRule="exact"/>
        <w:widowControl w:val="off"/>
        <w:rPr>
          <w:rFonts w:hint="eastAsia"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val="zh-CN" w:eastAsia="zh-CN"/>
        </w:rPr>
        <w:t xml:space="preserve">）</w:t>
      </w:r>
      <w:r>
        <w:rPr>
          <w:rFonts w:hint="eastAsia" w:hAnsi="宋体" w:eastAsia="宋体" w:cs="宋体"/>
          <w:color w:val="auto"/>
          <w:sz w:val="24"/>
          <w:highlight w:val="none"/>
          <w:lang w:val="en-US" w:eastAsia="zh-CN"/>
        </w:rPr>
        <w:t xml:space="preserve">工作要求</w:t>
      </w:r>
      <w:r/>
    </w:p>
    <w:p>
      <w:pPr>
        <w:pStyle w:val="639"/>
        <w:ind w:firstLine="480"/>
        <w:keepLines w:val="0"/>
        <w:keepNext w:val="0"/>
        <w:pageBreakBefore w:val="0"/>
        <w:spacing w:line="440" w:lineRule="exact"/>
        <w:widowControl w:val="off"/>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满足招标文件采购需求开展，并符合现行国家相关标准、行业标准、地方标准或者其他标准、规范。</w:t>
      </w:r>
      <w:r/>
    </w:p>
    <w:p>
      <w:pPr>
        <w:pStyle w:val="639"/>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四、商务要求</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1、服务期限（合同履行期限）：</w:t>
      </w:r>
      <w:r>
        <w:rPr>
          <w:rFonts w:hint="eastAsia" w:hAnsi="宋体" w:eastAsia="宋体" w:cs="宋体"/>
          <w:color w:val="auto"/>
          <w:sz w:val="24"/>
          <w:highlight w:val="none"/>
          <w:lang w:val="en-US" w:eastAsia="zh-CN"/>
        </w:rPr>
        <w:t xml:space="preserve">自合同签订之日起至2026年6月30日止</w:t>
      </w:r>
      <w:r>
        <w:rPr>
          <w:rFonts w:hint="eastAsia" w:ascii="宋体" w:hAnsi="宋体" w:eastAsia="宋体" w:cs="宋体"/>
          <w:color w:val="auto"/>
          <w:sz w:val="24"/>
          <w:highlight w:val="none"/>
          <w:lang w:val="en-US" w:eastAsia="zh-CN"/>
        </w:rPr>
        <w:t xml:space="preserve">。</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w:t>
      </w:r>
      <w:r>
        <w:rPr>
          <w:rFonts w:hint="eastAsia" w:ascii="宋体" w:hAnsi="宋体" w:eastAsia="宋体" w:cs="宋体"/>
          <w:color w:val="auto"/>
          <w:sz w:val="24"/>
          <w:highlight w:val="none"/>
          <w:lang w:val="zh-CN" w:eastAsia="zh-CN"/>
        </w:rPr>
        <w:t xml:space="preserve">地点：位于盐城市东台市境内</w:t>
      </w:r>
      <w:r>
        <w:rPr>
          <w:rFonts w:hint="eastAsia" w:ascii="宋体" w:hAnsi="宋体" w:eastAsia="宋体" w:cs="宋体"/>
          <w:color w:val="auto"/>
          <w:sz w:val="24"/>
          <w:highlight w:val="none"/>
          <w:lang w:val="en-US" w:eastAsia="zh-CN"/>
        </w:rPr>
        <w:t xml:space="preserve">。</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eastAsia="zh-CN"/>
        </w:rPr>
        <w:t xml:space="preserve">付款方式：</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（1）合同签订后，自收到发票之日起10日内，采购人支付供应商合同总价的30％作为预付款；</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（2）完成水质监测分析、水生态专项调查并形成相应报告后，自收到发票之日起10日内，采购人支付供应商合同总价的70％（扣除项目已支付的金额）；</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（3）完成东台河美丽河湖建设评估以及优秀案例申报等相关集成成果，通过甲方组织的专家评审并收到发票之日起10日内，采购人支付供应商应结算金额的100%（扣除项目已支付的金额）。</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注：以上付款均无银行利息，一律通过银行结转；采购人在付款前，供应商应先向采购人提供等额有效的发票，否则采购人有权拒付款项，且不承担任何责任。</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4、售后服务内容、要求和期限</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有关部门、单位进行调查、查阅报告所需的信息，供应商须进行配合。</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eastAsia="zh-CN"/>
        </w:rPr>
        <w:t xml:space="preserve">结算方式：采购人应结算金额按中标供应商合同价结算。</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6、其他</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lang w:val="en-US" w:eastAsia="zh-CN"/>
        </w:rPr>
        <w:t xml:space="preserve">成果要求：</w:t>
      </w:r>
      <w:r>
        <w:rPr>
          <w:rFonts w:hint="eastAsia" w:ascii="宋体" w:hAnsi="宋体" w:eastAsia="宋体" w:cs="宋体"/>
          <w:color w:val="auto"/>
          <w:sz w:val="24"/>
          <w:highlight w:val="none"/>
          <w:lang w:val="zh-CN" w:eastAsia="zh-CN"/>
        </w:rPr>
        <w:t xml:space="preserve">提交</w:t>
      </w:r>
      <w:r>
        <w:rPr>
          <w:rFonts w:hint="eastAsia" w:ascii="宋体" w:hAnsi="宋体" w:eastAsia="宋体" w:cs="宋体"/>
          <w:color w:val="auto"/>
          <w:sz w:val="24"/>
          <w:highlight w:val="none"/>
          <w:lang w:val="en-US" w:eastAsia="zh-CN"/>
        </w:rPr>
        <w:t xml:space="preserve">美丽河湖建设评估以及优秀案例申报等相关集成成果。</w:t>
      </w:r>
      <w:r/>
    </w:p>
    <w:p>
      <w:pPr>
        <w:pStyle w:val="639"/>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）成果</w:t>
      </w:r>
      <w:r>
        <w:rPr>
          <w:rFonts w:hint="eastAsia" w:ascii="宋体" w:hAnsi="宋体" w:eastAsia="宋体" w:cs="宋体"/>
          <w:color w:val="auto"/>
          <w:sz w:val="24"/>
          <w:highlight w:val="none"/>
          <w:lang w:val="en-US" w:eastAsia="zh-CN"/>
        </w:rPr>
        <w:t xml:space="preserve">确认要求：完成东台河美丽河湖建设评估以及优秀案例申报等相关集成成果并通过甲方组织的专家评审。</w:t>
      </w:r>
      <w:r/>
    </w:p>
    <w:p>
      <w:pPr>
        <w:pStyle w:val="639"/>
        <w:keepLines w:val="0"/>
        <w:keepNext w:val="0"/>
        <w:pageBreakBefore w:val="0"/>
        <w:spacing w:line="440" w:lineRule="exact"/>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五、其他</w:t>
      </w:r>
      <w:r/>
    </w:p>
    <w:p>
      <w:pPr>
        <w:pStyle w:val="639"/>
        <w:ind w:firstLine="480"/>
        <w:keepLines w:val="0"/>
        <w:keepNext w:val="0"/>
        <w:pageBreakBefore w:val="0"/>
        <w:spacing w:line="440" w:lineRule="exact"/>
        <w:widowControl w:val="off"/>
        <w:rPr>
          <w:rFonts w:hint="default" w:ascii="Times New Roman" w:hAnsi="Times New Roman" w:cs="Times New Roman"/>
          <w:color w:val="auto"/>
          <w:sz w:val="24"/>
          <w:highlight w:val="none"/>
          <w:lang w:val="zh-CN" w:eastAsia="zh-CN"/>
        </w:rPr>
      </w:pPr>
      <w:r>
        <w:rPr>
          <w:rFonts w:hint="eastAsia" w:ascii="Times New Roman" w:hAnsi="Times New Roman" w:cs="Times New Roman"/>
          <w:color w:val="auto"/>
          <w:sz w:val="24"/>
          <w:highlight w:val="none"/>
          <w:lang w:val="en-US" w:eastAsia="zh-CN"/>
        </w:rPr>
        <w:t xml:space="preserve">1、</w:t>
      </w:r>
      <w:r>
        <w:rPr>
          <w:rFonts w:hint="eastAsia" w:ascii="Times New Roman" w:hAnsi="Times New Roman" w:cs="Times New Roman"/>
          <w:color w:val="auto"/>
          <w:sz w:val="24"/>
          <w:highlight w:val="none"/>
          <w:lang w:val="zh-CN" w:eastAsia="zh-CN"/>
        </w:rPr>
        <w:t xml:space="preserve">体系认证</w:t>
      </w:r>
      <w:r/>
    </w:p>
    <w:p>
      <w:pPr>
        <w:pStyle w:val="639"/>
        <w:ind w:firstLine="480"/>
        <w:keepLines w:val="0"/>
        <w:keepNext w:val="0"/>
        <w:pageBreakBefore w:val="0"/>
        <w:spacing w:line="440" w:lineRule="exact"/>
        <w:widowControl w:val="off"/>
        <w:rPr>
          <w:rFonts w:hint="default" w:ascii="Times New Roman" w:hAnsi="Times New Roman" w:cs="Times New Roman"/>
          <w:color w:val="auto"/>
          <w:sz w:val="24"/>
          <w:highlight w:val="none"/>
          <w:lang w:val="zh-CN" w:eastAsia="zh-CN"/>
        </w:rPr>
      </w:pPr>
      <w:r>
        <w:rPr>
          <w:rFonts w:hint="default" w:ascii="Times New Roman" w:hAnsi="Times New Roman" w:cs="Times New Roman"/>
          <w:color w:val="auto"/>
          <w:sz w:val="24"/>
          <w:highlight w:val="none"/>
          <w:lang w:val="zh-CN" w:eastAsia="zh-CN"/>
        </w:rPr>
        <w:t xml:space="preserve">投标人需具备良好的质量管理体系规范日常管理与服务，积极保障员工健康和安全，以保障本项目的顺利实施，具有国家认监委认可的机构颁发的有效期内的ISO9001质量管理体系认证证书、ISO14001环境管理体系认证证书、ISO45001职业健康安全管理体系认证证书的</w:t>
      </w:r>
      <w:r>
        <w:rPr>
          <w:rFonts w:hint="eastAsia" w:ascii="Times New Roman" w:hAnsi="Times New Roman" w:cs="Times New Roman"/>
          <w:color w:val="auto"/>
          <w:sz w:val="24"/>
          <w:highlight w:val="none"/>
          <w:lang w:val="zh-CN" w:eastAsia="zh-CN"/>
        </w:rPr>
        <w:t xml:space="preserve">投标人</w:t>
      </w:r>
      <w:r>
        <w:rPr>
          <w:rFonts w:hint="default" w:ascii="Times New Roman" w:hAnsi="Times New Roman" w:cs="Times New Roman"/>
          <w:color w:val="auto"/>
          <w:sz w:val="24"/>
          <w:highlight w:val="none"/>
          <w:lang w:val="zh-CN" w:eastAsia="zh-CN"/>
        </w:rPr>
        <w:t xml:space="preserve">优先。</w:t>
      </w:r>
      <w:r/>
    </w:p>
    <w:p>
      <w:pPr>
        <w:pStyle w:val="639"/>
        <w:ind w:firstLine="480"/>
        <w:keepLines w:val="0"/>
        <w:keepNext w:val="0"/>
        <w:pageBreakBefore w:val="0"/>
        <w:spacing w:line="440" w:lineRule="exact"/>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检测</w:t>
      </w:r>
      <w:r>
        <w:rPr>
          <w:rFonts w:hint="eastAsia" w:ascii="宋体" w:hAnsi="宋体" w:eastAsia="宋体" w:cs="宋体"/>
          <w:color w:val="auto"/>
          <w:sz w:val="24"/>
          <w:highlight w:val="none"/>
          <w:lang w:val="en-US" w:eastAsia="zh-CN"/>
        </w:rPr>
        <w:t xml:space="preserve">能力</w:t>
      </w:r>
      <w:r>
        <w:rPr>
          <w:rFonts w:hint="eastAsia" w:hAnsi="宋体" w:eastAsia="宋体" w:cs="宋体"/>
          <w:color w:val="auto"/>
          <w:sz w:val="24"/>
          <w:highlight w:val="none"/>
          <w:lang w:val="en-US" w:eastAsia="zh-CN"/>
        </w:rPr>
        <w:t xml:space="preserve">（自有）</w:t>
      </w:r>
      <w:r/>
    </w:p>
    <w:p>
      <w:pPr>
        <w:pStyle w:val="639"/>
        <w:ind w:firstLine="480"/>
        <w:keepLines w:val="0"/>
        <w:keepNext w:val="0"/>
        <w:pageBreakBefore w:val="0"/>
        <w:spacing w:line="440" w:lineRule="exact"/>
        <w:widowControl w:val="off"/>
        <w:rPr>
          <w:rFonts w:hint="eastAsia" w:ascii="Times New Roman" w:hAnsi="Times New Roman" w:cs="Times New Roman"/>
          <w:color w:val="auto"/>
          <w:sz w:val="24"/>
          <w:highlight w:val="none"/>
          <w:lang w:val="en-US" w:eastAsia="zh-CN"/>
        </w:rPr>
      </w:pPr>
      <w:r>
        <w:rPr>
          <w:rFonts w:hint="eastAsia" w:ascii="宋体" w:hAnsi="宋体" w:eastAsia="宋体" w:cs="宋体"/>
          <w:color w:val="auto"/>
          <w:sz w:val="24"/>
          <w:highlight w:val="none"/>
          <w:lang w:val="zh-CN" w:eastAsia="zh-CN"/>
        </w:rPr>
        <w:t xml:space="preserve">水生态专项调查内容需要涵盖鱼类、大型底栖无脊椎动物、浮游植物、浮游动物、着生藻类、水生维管植物等水生生物类群，评价指标包括种类、密度、生物量、优势种、多样性评价等要素</w:t>
      </w:r>
      <w:r>
        <w:rPr>
          <w:rFonts w:hint="eastAsia"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zh-CN" w:eastAsia="zh-CN"/>
        </w:rPr>
        <w:t xml:space="preserve">应开展检测工作，确保本项目的顺利实施，投标人（包含投标人全资子公司或控股子公司）具有有效的检验检测机构资质认定证书CMA且证书附表中包含浮游植物、浮游动物、底栖动物、鱼类等水生生物类群监测指标的投标人优先。</w:t>
      </w:r>
      <w:r/>
    </w:p>
    <w:p>
      <w:pPr>
        <w:pStyle w:val="639"/>
        <w:ind w:firstLine="480"/>
        <w:keepLines w:val="0"/>
        <w:keepNext w:val="0"/>
        <w:pageBreakBefore w:val="0"/>
        <w:spacing w:line="440" w:lineRule="exact"/>
        <w:widowControl w:val="off"/>
        <w:rPr>
          <w:rFonts w:hint="default" w:ascii="Times New Roman" w:hAnsi="Times New Roman" w:cs="Times New Roman"/>
          <w:color w:val="auto"/>
          <w:sz w:val="24"/>
          <w:highlight w:val="none"/>
          <w:lang w:val="zh-CN" w:eastAsia="zh-CN"/>
        </w:rPr>
      </w:pPr>
      <w:r>
        <w:rPr>
          <w:rFonts w:hint="eastAsia" w:ascii="Times New Roman" w:hAnsi="Times New Roman" w:cs="Times New Roman"/>
          <w:color w:val="auto"/>
          <w:sz w:val="24"/>
          <w:highlight w:val="none"/>
          <w:lang w:val="en-US" w:eastAsia="zh-CN"/>
        </w:rPr>
        <w:t xml:space="preserve">3、人员配备</w:t>
      </w:r>
      <w:r/>
    </w:p>
    <w:p>
      <w:pPr>
        <w:pStyle w:val="639"/>
        <w:ind w:firstLine="480"/>
        <w:keepLines w:val="0"/>
        <w:keepNext w:val="0"/>
        <w:pageBreakBefore w:val="0"/>
        <w:spacing w:line="440" w:lineRule="exact"/>
        <w:widowControl w:val="off"/>
        <w:rPr>
          <w:rFonts w:hint="default" w:ascii="Times New Roman" w:hAnsi="Times New Roman" w:cs="Times New Roman"/>
          <w:color w:val="auto"/>
          <w:sz w:val="24"/>
          <w:highlight w:val="none"/>
          <w:lang w:val="zh-CN" w:eastAsia="zh-CN"/>
        </w:rPr>
      </w:pPr>
      <w:r>
        <w:rPr>
          <w:rFonts w:hint="default" w:ascii="Times New Roman" w:hAnsi="Times New Roman" w:cs="Times New Roman"/>
          <w:color w:val="auto"/>
          <w:sz w:val="24"/>
          <w:highlight w:val="none"/>
          <w:lang w:val="zh-CN" w:eastAsia="zh-CN"/>
        </w:rPr>
        <w:t xml:space="preserve">投标人应为本项目配备具有丰富</w:t>
      </w:r>
      <w:r>
        <w:rPr>
          <w:rFonts w:hint="eastAsia" w:ascii="Times New Roman" w:hAnsi="Times New Roman" w:cs="Times New Roman"/>
          <w:color w:val="auto"/>
          <w:sz w:val="24"/>
          <w:highlight w:val="none"/>
          <w:lang w:val="zh-CN" w:eastAsia="zh-CN"/>
        </w:rPr>
        <w:t xml:space="preserve">类似项目</w:t>
      </w:r>
      <w:r>
        <w:rPr>
          <w:rFonts w:hint="default" w:ascii="Times New Roman" w:hAnsi="Times New Roman" w:cs="Times New Roman"/>
          <w:color w:val="auto"/>
          <w:sz w:val="24"/>
          <w:highlight w:val="none"/>
          <w:lang w:val="zh-CN" w:eastAsia="zh-CN"/>
        </w:rPr>
        <w:t xml:space="preserve">经验的服务团队，人员未经采购人认可，不可随意更换：</w:t>
      </w:r>
      <w:r/>
    </w:p>
    <w:p>
      <w:pPr>
        <w:pStyle w:val="639"/>
        <w:ind w:firstLine="480"/>
        <w:keepLines w:val="0"/>
        <w:keepNext w:val="0"/>
        <w:pageBreakBefore w:val="0"/>
        <w:spacing w:line="440" w:lineRule="exact"/>
        <w:widowControl w:val="off"/>
        <w:rPr>
          <w:rFonts w:hint="default" w:ascii="Times New Roman" w:hAnsi="Times New Roman" w:cs="Times New Roman"/>
          <w:color w:val="auto"/>
          <w:sz w:val="24"/>
          <w:highlight w:val="none"/>
          <w:lang w:val="zh-CN" w:eastAsia="zh-CN"/>
        </w:rPr>
      </w:pPr>
      <w:r>
        <w:rPr>
          <w:rFonts w:hint="default" w:ascii="Times New Roman" w:hAnsi="Times New Roman" w:cs="Times New Roman"/>
          <w:color w:val="auto"/>
          <w:sz w:val="24"/>
          <w:highlight w:val="none"/>
          <w:lang w:val="zh-CN" w:eastAsia="zh-CN"/>
        </w:rPr>
        <w:t xml:space="preserve">项目</w:t>
      </w:r>
      <w:r>
        <w:rPr>
          <w:rFonts w:hint="eastAsia" w:ascii="Times New Roman" w:hAnsi="Times New Roman" w:cs="Times New Roman"/>
          <w:color w:val="auto"/>
          <w:sz w:val="24"/>
          <w:highlight w:val="none"/>
          <w:lang w:val="zh-CN" w:eastAsia="zh-CN"/>
        </w:rPr>
        <w:t xml:space="preserve">服务团队中具有水利类或环境类职称的需有</w:t>
      </w:r>
      <w:r>
        <w:rPr>
          <w:rFonts w:hint="eastAsia" w:ascii="Times New Roman" w:hAnsi="Times New Roman" w:cs="Times New Roman"/>
          <w:color w:val="auto"/>
          <w:sz w:val="24"/>
          <w:highlight w:val="none"/>
          <w:lang w:val="en-US" w:eastAsia="zh-CN"/>
        </w:rPr>
        <w:t xml:space="preserve">3</w:t>
      </w:r>
      <w:r>
        <w:rPr>
          <w:rFonts w:hint="eastAsia" w:ascii="Times New Roman" w:hAnsi="Times New Roman" w:cs="Times New Roman"/>
          <w:color w:val="auto"/>
          <w:sz w:val="24"/>
          <w:highlight w:val="none"/>
          <w:lang w:val="zh-CN" w:eastAsia="zh-CN"/>
        </w:rPr>
        <w:t xml:space="preserve">人具备正高级职称、4人具备副高级职称的</w:t>
      </w:r>
      <w:r>
        <w:rPr>
          <w:rFonts w:hint="default" w:ascii="Times New Roman" w:hAnsi="Times New Roman" w:cs="Times New Roman"/>
          <w:color w:val="auto"/>
          <w:sz w:val="24"/>
          <w:highlight w:val="none"/>
          <w:lang w:val="zh-CN" w:eastAsia="zh-CN"/>
        </w:rPr>
        <w:t xml:space="preserve">优先</w:t>
      </w:r>
      <w:r>
        <w:rPr>
          <w:rFonts w:hint="eastAsia" w:ascii="Times New Roman" w:hAnsi="Times New Roman" w:cs="Times New Roman"/>
          <w:color w:val="auto"/>
          <w:sz w:val="24"/>
          <w:highlight w:val="none"/>
          <w:lang w:val="zh-CN" w:eastAsia="zh-CN"/>
        </w:rPr>
        <w:t xml:space="preserve">。</w:t>
      </w:r>
      <w:r/>
    </w:p>
    <w:p>
      <w:pPr>
        <w:pStyle w:val="639"/>
        <w:ind w:firstLine="480"/>
        <w:keepLines w:val="0"/>
        <w:keepNext w:val="0"/>
        <w:pageBreakBefore w:val="0"/>
        <w:spacing w:line="440" w:lineRule="exact"/>
        <w:widowControl w:val="off"/>
        <w:rPr>
          <w:rFonts w:hint="eastAsia" w:ascii="Times New Roman" w:hAnsi="Times New Roman" w:cs="Times New Roman"/>
          <w:color w:val="auto"/>
          <w:sz w:val="24"/>
          <w:highlight w:val="none"/>
          <w:lang w:val="zh-CN" w:eastAsia="zh-CN"/>
        </w:rPr>
      </w:pPr>
      <w:r>
        <w:rPr>
          <w:rFonts w:hint="eastAsia" w:ascii="Times New Roman" w:hAnsi="Times New Roman" w:cs="Times New Roman"/>
          <w:color w:val="auto"/>
          <w:sz w:val="24"/>
          <w:highlight w:val="none"/>
          <w:lang w:val="en-US" w:eastAsia="zh-CN"/>
        </w:rPr>
        <w:t xml:space="preserve">4、</w:t>
      </w:r>
      <w:r>
        <w:rPr>
          <w:rFonts w:hint="eastAsia" w:ascii="Times New Roman" w:hAnsi="Times New Roman" w:cs="Times New Roman"/>
          <w:color w:val="auto"/>
          <w:sz w:val="24"/>
          <w:highlight w:val="none"/>
          <w:lang w:val="zh-CN" w:eastAsia="zh-CN"/>
        </w:rPr>
        <w:t xml:space="preserve">业绩要求</w:t>
      </w:r>
      <w:r/>
    </w:p>
    <w:p>
      <w:pPr>
        <w:pStyle w:val="639"/>
        <w:ind w:firstLine="480"/>
        <w:keepLines w:val="0"/>
        <w:keepNext w:val="0"/>
        <w:pageBreakBefore w:val="0"/>
        <w:spacing w:line="440" w:lineRule="exact"/>
        <w:widowControl w:val="off"/>
        <w:rPr>
          <w:rFonts w:hint="eastAsia" w:ascii="Times New Roman" w:hAnsi="Times New Roman" w:cs="Times New Roman"/>
          <w:color w:val="auto"/>
          <w:sz w:val="24"/>
          <w:highlight w:val="none"/>
          <w:lang w:val="zh-CN" w:eastAsia="zh-CN"/>
        </w:rPr>
      </w:pPr>
      <w:r>
        <w:rPr>
          <w:rFonts w:hint="eastAsia" w:ascii="Times New Roman" w:hAnsi="Times New Roman" w:cs="Times New Roman"/>
          <w:color w:val="auto"/>
          <w:sz w:val="24"/>
          <w:highlight w:val="none"/>
          <w:lang w:val="zh-CN" w:eastAsia="zh-CN"/>
        </w:rPr>
        <w:t xml:space="preserve">投标人和投标人拟派项目负责人自2022年1月1日起至今（以合同签订之日为准），承担过美丽河湖优秀案例申报项目类似业绩的优先。</w:t>
      </w:r>
      <w:r/>
    </w:p>
    <w:p>
      <w:pPr>
        <w:pStyle w:val="639"/>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638"/>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75"/>
        <w:gridCol w:w="6140"/>
        <w:gridCol w:w="3167"/>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645"/>
              <w:jc w:val="center"/>
              <w:keepLines w:val="0"/>
              <w:keepNext w:val="0"/>
              <w:pageBreakBefore w:val="0"/>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645"/>
              <w:jc w:val="center"/>
              <w:keepLines w:val="0"/>
              <w:keepNext w:val="0"/>
              <w:pageBreakBefore w:val="0"/>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645"/>
              <w:jc w:val="center"/>
              <w:keepLines w:val="0"/>
              <w:keepNext w:val="0"/>
              <w:pageBreakBefore w:val="0"/>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盐城市东台生态环境局东台河美丽河湖优秀案例申报项目（东台河美丽河湖建设成效评估）</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其他未列明行业</w:t>
            </w:r>
            <w:r/>
          </w:p>
        </w:tc>
      </w:tr>
    </w:tbl>
    <w:p>
      <w:pPr>
        <w:rPr>
          <w:rFonts w:hint="eastAsia" w:ascii="宋体" w:hAnsi="宋体" w:eastAsia="宋体" w:cs="宋体"/>
          <w:highlight w:val="none"/>
        </w:rPr>
      </w:pPr>
      <w:r>
        <w:rPr>
          <w:rFonts w:hint="eastAsia" w:ascii="宋体" w:hAnsi="宋体" w:eastAsia="宋体" w:cs="宋体"/>
          <w:highlight w:val="none"/>
        </w:rPr>
        <w:br w:type="page" w:clear="all"/>
      </w:r>
      <w:r/>
    </w:p>
    <w:p>
      <w:pPr>
        <w:pStyle w:val="645"/>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44"/>
          <w:szCs w:val="44"/>
          <w:highlight w:val="none"/>
        </w:rPr>
        <w:t xml:space="preserve">第五章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评标方法与评标标准</w:t>
      </w:r>
      <w:r/>
    </w:p>
    <w:p>
      <w:p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政府采购政策功能落实</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649"/>
        <w:ind w:left="0" w:firstLine="480"/>
        <w:keepLines w:val="0"/>
        <w:keepNext w:val="0"/>
        <w:pageBreakBefore w:val="0"/>
        <w:spacing w:before="0" w:after="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lang w:eastAsia="zh-CN"/>
        </w:rPr>
        <w:t xml:space="preserve">6.</w:t>
      </w:r>
      <w:r>
        <w:rPr>
          <w:rFonts w:hint="eastAsia" w:ascii="宋体" w:hAnsi="宋体" w:eastAsia="宋体" w:cs="宋体"/>
          <w:color w:val="000000"/>
          <w:highlight w:val="none"/>
        </w:rPr>
        <w:t xml:space="preserve">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45"/>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评标方法与评标标准</w:t>
      </w:r>
      <w:r/>
    </w:p>
    <w:p>
      <w:pPr>
        <w:pStyle w:val="645"/>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本项目评分总分值为100分。</w:t>
      </w:r>
      <w:r/>
    </w:p>
    <w:tbl>
      <w:tblPr>
        <w:tblStyle w:val="63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443"/>
        <w:gridCol w:w="1443"/>
        <w:gridCol w:w="995"/>
        <w:gridCol w:w="53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序</w:t>
            </w:r>
            <w:r>
              <w:rPr>
                <w:rFonts w:hint="eastAsia" w:ascii="宋体" w:hAnsi="宋体" w:eastAsia="宋体" w:cs="宋体"/>
                <w:b w:val="0"/>
                <w:bCs w:val="0"/>
                <w:color w:val="auto"/>
                <w:sz w:val="24"/>
                <w:szCs w:val="24"/>
                <w:highlight w:val="none"/>
                <w:lang w:val="en-US" w:eastAsia="zh-CN"/>
              </w:rPr>
              <w:t xml:space="preserve">号</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分部内容</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打分要求</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满足招标文件要求且投标价格最低的投标报价为基准价，其价格分为满分。报价得分=(评标基准价/投标报价)×10。</w:t>
            </w:r>
            <w:r/>
          </w:p>
        </w:tc>
      </w:tr>
      <w:tr>
        <w:trPr>
          <w:cantSplit/>
          <w:jc w:val="center"/>
          <w:trHeight w:val="567"/>
        </w:trPr>
        <w:tc>
          <w:tcPr>
            <w:tcBorders>
              <w:top w:val="single" w:color="auto" w:sz="4" w:space="0"/>
              <w:left w:val="single" w:color="auto" w:sz="4" w:space="0"/>
              <w:right w:val="single" w:color="auto" w:sz="4" w:space="0"/>
            </w:tcBorders>
            <w:tcW w:w="346"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25"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技术</w:t>
            </w:r>
            <w:r>
              <w:rPr>
                <w:rFonts w:hint="eastAsia" w:ascii="宋体" w:hAnsi="宋体" w:eastAsia="宋体" w:cs="宋体"/>
                <w:b w:val="0"/>
                <w:bCs w:val="0"/>
                <w:color w:val="auto"/>
                <w:sz w:val="24"/>
                <w:szCs w:val="24"/>
                <w:highlight w:val="none"/>
              </w:rPr>
              <w:t xml:space="preserve">部分</w:t>
            </w:r>
            <w:r/>
          </w:p>
        </w:tc>
        <w:tc>
          <w:tcPr>
            <w:tcBorders>
              <w:top w:val="single" w:color="auto" w:sz="4" w:space="0"/>
              <w:left w:val="single" w:color="auto" w:sz="4" w:space="0"/>
              <w:right w:val="single" w:color="auto" w:sz="4" w:space="0"/>
            </w:tcBorders>
            <w:tcW w:w="14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项目总体服务方案</w:t>
            </w:r>
            <w:r/>
          </w:p>
        </w:tc>
        <w:tc>
          <w:tcPr>
            <w:tcBorders>
              <w:top w:val="single" w:color="auto" w:sz="4" w:space="0"/>
              <w:left w:val="single" w:color="auto" w:sz="4" w:space="0"/>
              <w:right w:val="single" w:color="auto" w:sz="4" w:space="0"/>
            </w:tcBorders>
            <w:tcW w:w="9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37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供应商根据采购人的需求和项目具体内容并结合自身情况制定服务方案。服务方案内容非常完善、详实，具有非常强的可操作性，项目组织结构非常明晰得10分，服务方案内容比较完善、详实，具有比较强的可操作性，项目组织结构比较明晰得7分，实施方案内容基本完善、详实，具有可操作性，项目组织结构基本明晰得4分，无表述不得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right w:val="single" w:color="auto" w:sz="4" w:space="0"/>
            </w:tcBorders>
            <w:tcW w:w="14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水生态专项调查方案</w:t>
            </w:r>
            <w:r/>
          </w:p>
        </w:tc>
        <w:tc>
          <w:tcPr>
            <w:tcBorders>
              <w:top w:val="single" w:color="auto" w:sz="4" w:space="0"/>
              <w:left w:val="single" w:color="auto" w:sz="4" w:space="0"/>
              <w:right w:val="single" w:color="auto" w:sz="4" w:space="0"/>
            </w:tcBorders>
            <w:tcW w:w="9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37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根据河流水生态专项调查方案的可行性、有效性、针对性、全面性等方面进行综合评审。方案目标和预期成果明确，调查能够准确反映河流水生态的实际状况的得5分。若方案的调查目标和预期成果基本清晰，能在一定程度上反映河流水生态状况的得3分。若方案的调查目标不明确，调查工作内容设置不合理的得1分。若方案中未涉及有效性相关内容，无任何表述，则不得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right w:val="single" w:color="auto" w:sz="4" w:space="0"/>
            </w:tcBorders>
            <w:tcW w:w="14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美</w:t>
            </w:r>
            <w:r>
              <w:rPr>
                <w:rFonts w:hint="eastAsia" w:ascii="宋体" w:hAnsi="宋体" w:eastAsia="宋体" w:cs="宋体"/>
                <w:b w:val="0"/>
                <w:bCs w:val="0"/>
                <w:color w:val="auto"/>
                <w:sz w:val="24"/>
                <w:szCs w:val="24"/>
                <w:highlight w:val="none"/>
              </w:rPr>
              <w:t xml:space="preserve">丽河</w:t>
            </w:r>
            <w:r>
              <w:rPr>
                <w:rFonts w:hint="eastAsia" w:ascii="宋体" w:hAnsi="宋体" w:eastAsia="宋体" w:cs="宋体"/>
                <w:b w:val="0"/>
                <w:bCs w:val="0"/>
                <w:color w:val="auto"/>
                <w:sz w:val="24"/>
                <w:szCs w:val="24"/>
                <w:highlight w:val="none"/>
                <w:lang w:val="en-US" w:eastAsia="zh-CN"/>
              </w:rPr>
              <w:t xml:space="preserve">湖优</w:t>
            </w:r>
            <w:r>
              <w:rPr>
                <w:rFonts w:hint="eastAsia" w:ascii="宋体" w:hAnsi="宋体" w:eastAsia="宋体" w:cs="宋体"/>
                <w:b w:val="0"/>
                <w:bCs w:val="0"/>
                <w:color w:val="auto"/>
                <w:sz w:val="24"/>
                <w:szCs w:val="24"/>
                <w:highlight w:val="none"/>
              </w:rPr>
              <w:t xml:space="preserve">秀案例</w:t>
            </w:r>
            <w:r>
              <w:rPr>
                <w:rFonts w:hint="eastAsia" w:ascii="宋体" w:hAnsi="宋体" w:eastAsia="宋体" w:cs="宋体"/>
                <w:b w:val="0"/>
                <w:bCs w:val="0"/>
                <w:color w:val="auto"/>
                <w:sz w:val="24"/>
                <w:szCs w:val="24"/>
                <w:highlight w:val="none"/>
                <w:lang w:val="en-US" w:eastAsia="zh-CN"/>
              </w:rPr>
              <w:t xml:space="preserve">申</w:t>
            </w:r>
            <w:r>
              <w:rPr>
                <w:rFonts w:hint="eastAsia" w:ascii="宋体" w:hAnsi="宋体" w:eastAsia="宋体" w:cs="宋体"/>
                <w:b w:val="0"/>
                <w:bCs w:val="0"/>
                <w:color w:val="auto"/>
                <w:sz w:val="24"/>
                <w:szCs w:val="24"/>
                <w:highlight w:val="none"/>
              </w:rPr>
              <w:t xml:space="preserve">报和成</w:t>
            </w:r>
            <w:r>
              <w:rPr>
                <w:rFonts w:hint="eastAsia" w:ascii="宋体" w:hAnsi="宋体" w:eastAsia="宋体" w:cs="宋体"/>
                <w:b w:val="0"/>
                <w:bCs w:val="0"/>
                <w:color w:val="auto"/>
                <w:sz w:val="24"/>
                <w:szCs w:val="24"/>
                <w:highlight w:val="none"/>
                <w:lang w:val="en-US" w:eastAsia="zh-CN"/>
              </w:rPr>
              <w:t xml:space="preserve">效</w:t>
            </w:r>
            <w:r>
              <w:rPr>
                <w:rFonts w:hint="eastAsia" w:ascii="宋体" w:hAnsi="宋体" w:eastAsia="宋体" w:cs="宋体"/>
                <w:b w:val="0"/>
                <w:bCs w:val="0"/>
                <w:color w:val="auto"/>
                <w:sz w:val="24"/>
                <w:szCs w:val="24"/>
                <w:highlight w:val="none"/>
              </w:rPr>
              <w:t xml:space="preserve">自评</w:t>
            </w:r>
            <w:r>
              <w:rPr>
                <w:rFonts w:hint="eastAsia" w:ascii="宋体" w:hAnsi="宋体" w:eastAsia="宋体" w:cs="宋体"/>
                <w:b w:val="0"/>
                <w:bCs w:val="0"/>
                <w:color w:val="auto"/>
                <w:sz w:val="24"/>
                <w:szCs w:val="24"/>
                <w:highlight w:val="none"/>
                <w:lang w:val="en-US" w:eastAsia="zh-CN"/>
              </w:rPr>
              <w:t xml:space="preserve">估工</w:t>
            </w:r>
            <w:r>
              <w:rPr>
                <w:rFonts w:hint="eastAsia" w:ascii="宋体" w:hAnsi="宋体" w:eastAsia="宋体" w:cs="宋体"/>
                <w:b w:val="0"/>
                <w:bCs w:val="0"/>
                <w:color w:val="auto"/>
                <w:sz w:val="24"/>
                <w:szCs w:val="24"/>
                <w:highlight w:val="none"/>
              </w:rPr>
              <w:t xml:space="preserve">作方案</w:t>
            </w:r>
            <w:r/>
          </w:p>
        </w:tc>
        <w:tc>
          <w:tcPr>
            <w:tcBorders>
              <w:top w:val="single" w:color="auto" w:sz="4" w:space="0"/>
              <w:left w:val="single" w:color="auto" w:sz="4" w:space="0"/>
              <w:right w:val="single" w:color="auto" w:sz="4" w:space="0"/>
            </w:tcBorders>
            <w:tcW w:w="9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537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根据美丽河湖优秀案例申报和成效自评估工作方案的全面性、科学性、针对性等方面进行综合评审。方案内容全面、科学、针对性强的5分。方案内容较为全面、相对科学、具有较强针对性的得3分。若方案内容全面性一般、科学性一般、针对性较弱的得1分。若方案不全面、无科学依据、不具有针对性的不得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right w:val="single" w:color="auto" w:sz="4" w:space="0"/>
            </w:tcBorders>
            <w:tcW w:w="14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对本项目工作重点、难点分析</w:t>
            </w:r>
            <w:r/>
          </w:p>
        </w:tc>
        <w:tc>
          <w:tcPr>
            <w:tcBorders>
              <w:top w:val="single" w:color="auto" w:sz="4" w:space="0"/>
              <w:left w:val="single" w:color="auto" w:sz="4" w:space="0"/>
              <w:right w:val="single" w:color="auto" w:sz="4" w:space="0"/>
            </w:tcBorders>
            <w:tcW w:w="9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37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根据对本项目工作重点与难点理解和认识的准确性、深刻性和采取的措施针对性、可行性等方面进行综合评审，对本项目工作任务、难点把握非常精准、分析理解非常深刻、对策的针对性和可行性非常强的得10分，对本项目工作任务、难点把握比较精准、分析理解比较透彻、对策的针对性和可行性比较强的得7分，对本项目工作任务、难点把握基本精准、分析理解基本透彻、对策针对性和可行性较强的一般得4分，未提供不得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right w:val="single" w:color="auto" w:sz="4" w:space="0"/>
            </w:tcBorders>
            <w:tcW w:w="14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工作计划</w:t>
            </w:r>
            <w:r/>
          </w:p>
        </w:tc>
        <w:tc>
          <w:tcPr>
            <w:tcBorders>
              <w:top w:val="single" w:color="auto" w:sz="4" w:space="0"/>
              <w:left w:val="single" w:color="auto" w:sz="4" w:space="0"/>
              <w:right w:val="single" w:color="auto" w:sz="4" w:space="0"/>
            </w:tcBorders>
            <w:tcW w:w="9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37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根据工作计划的完整性、针对性、可行性、等方面进行综合评审。计划非常全面周到、具有非常详细的内容，针对性和可行性非常强的得10分，计划较全面、有一定具体内容，有一定的针对性和可行性的得7分，有内容但不全面，针对性和可行性差的得4分，无表述不得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right w:val="single" w:color="auto" w:sz="4" w:space="0"/>
            </w:tcBorders>
            <w:tcW w:w="14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服务保障措施</w:t>
            </w:r>
            <w:r/>
          </w:p>
        </w:tc>
        <w:tc>
          <w:tcPr>
            <w:tcBorders>
              <w:top w:val="single" w:color="auto" w:sz="4" w:space="0"/>
              <w:left w:val="single" w:color="auto" w:sz="4" w:space="0"/>
              <w:right w:val="single" w:color="auto" w:sz="4" w:space="0"/>
            </w:tcBorders>
            <w:tcW w:w="9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537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本项目的服务保障措施的合理性、有效性、科学性和可行性等方面进行综合评审。质量保证及质量保障措施非常合理、有效、科学、可行的得8分，比较合理、有效、科学、可行的得5分，基本合理、有效、科学、可行的得2分，无表述不得分。</w:t>
            </w:r>
            <w:r/>
          </w:p>
        </w:tc>
      </w:tr>
      <w:tr>
        <w:trPr>
          <w:cantSplit/>
          <w:jc w:val="center"/>
          <w:trHeight w:val="567"/>
        </w:trPr>
        <w:tc>
          <w:tcPr>
            <w:tcBorders>
              <w:left w:val="single" w:color="auto" w:sz="4" w:space="0"/>
              <w:right w:val="single" w:color="auto" w:sz="4" w:space="0"/>
            </w:tcBorders>
            <w:tcW w:w="346"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725"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履约能力</w:t>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体系认证</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投标人具有ISO9001质量管理体系认证证书、ISO14001环境管理体系认证证书、ISO45001职业健康安全管理体系认证证书的，且证书在有效期内，每个证书得3分，最高得9分。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（以提供证书原件彩色扫描件为准，未提供或提供材料不符合要求的不得分）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检测能力（自有）</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投标人（包含投标人全资子公司或控股子公司）具有有效的检验检测机构资质认定证书CMA且证书附表中包含浮游植物、浮游动物、底栖动物、鱼类等水生生物类群监测指标的得4分。</w:t>
            </w:r>
            <w:r/>
          </w:p>
          <w:p>
            <w:pPr>
              <w:ind w:firstLine="480"/>
              <w:keepLines w:val="0"/>
              <w:keepNext w:val="0"/>
              <w:pageBreakBefore w:val="0"/>
              <w:spacing w:line="240" w:lineRule="auto"/>
              <w:widowControl w:val="off"/>
              <w:rPr>
                <w:rFonts w:hint="eastAsia"/>
                <w:highlight w:val="none"/>
                <w:lang w:val="en-US" w:eastAsia="zh-CN"/>
              </w:rPr>
            </w:pPr>
            <w:r>
              <w:rPr>
                <w:rFonts w:hint="eastAsia" w:ascii="宋体" w:hAnsi="宋体" w:eastAsia="宋体" w:cs="宋体"/>
                <w:b w:val="0"/>
                <w:bCs w:val="0"/>
                <w:color w:val="auto"/>
                <w:sz w:val="24"/>
                <w:szCs w:val="24"/>
                <w:highlight w:val="none"/>
                <w:lang w:val="en-US" w:eastAsia="zh-CN"/>
              </w:rPr>
              <w:t xml:space="preserve">（以提供证书及附表原件彩色扫描件为准，未提供或提供材料不符合要求的不得分）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为本项目配备的项目组成员中具有（水利类、环境类）正高级职称的，每有1名得3分，最高得9分；具有（水利类、环境类）副高级职称的，每有1名得2分，最高得8分；本项最高得17分。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上述条款需提供专职人员一览表（格式自拟，需标注项目负责人职务），相应的证书原件彩色扫描件、投标单位为其缴纳的近三个月任意一个月（不含投标当月）的社保证明材料或退休返聘证明原件彩色扫描件）</w:t>
            </w:r>
            <w:r/>
          </w:p>
        </w:tc>
      </w:tr>
      <w:tr>
        <w:trPr>
          <w:cantSplit/>
          <w:jc w:val="center"/>
          <w:trHeight w:val="567"/>
        </w:trPr>
        <w:tc>
          <w:tcPr>
            <w:tcBorders>
              <w:left w:val="single" w:color="auto" w:sz="4" w:space="0"/>
              <w:right w:val="single" w:color="auto" w:sz="4" w:space="0"/>
            </w:tcBorders>
            <w:tcW w:w="34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Borders>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其他</w:t>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业绩</w:t>
            </w:r>
            <w:r/>
          </w:p>
        </w:tc>
        <w:tc>
          <w:tcPr>
            <w:tcBorders>
              <w:top w:val="single" w:color="auto" w:sz="4" w:space="0"/>
              <w:left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Borders>
              <w:top w:val="single" w:color="auto" w:sz="4" w:space="0"/>
              <w:left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1、投标人自2022年1月1日起至今（以合同签订之日为准），承担过美丽河湖优秀案例申报项目类似业绩的，每提供一个得3分，本项最高得9分（提供相关业绩合同原件扫描件，未按要求提供或未提供的不得分）。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拟派项目负责人自2022年1月1日起至今（以合同签订之日为准），承担过美丽河湖优秀案例申报项目类似业绩的，每提供一个得3分，本项最高得3分（提供相关业绩合同原件扫描件，未按要求提供或未提供的不得分）。</w:t>
            </w:r>
            <w:r/>
          </w:p>
        </w:tc>
      </w:tr>
    </w:tbl>
    <w:p>
      <w:pPr>
        <w:rPr>
          <w:rFonts w:hint="eastAsia"/>
          <w:color w:val="auto"/>
          <w:highlight w:val="none"/>
          <w:lang w:val="en-US" w:eastAsia="zh-CN"/>
        </w:rPr>
      </w:pPr>
      <w:r>
        <w:rPr>
          <w:rFonts w:hint="eastAsia"/>
          <w:color w:val="auto"/>
          <w:highlight w:val="none"/>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rPr>
          <w:rFonts w:hint="eastAsia"/>
          <w:color w:val="auto"/>
          <w:highlight w:val="none"/>
          <w:lang w:val="en-US" w:eastAsia="zh-CN"/>
        </w:rPr>
      </w:pPr>
      <w:r>
        <w:rPr>
          <w:rFonts w:hint="eastAsia"/>
          <w:color w:val="auto"/>
          <w:highlight w:val="none"/>
          <w:lang w:val="en-US" w:eastAsia="zh-CN"/>
        </w:rPr>
        <w:br w:type="page" w:clear="all"/>
      </w:r>
      <w:r/>
    </w:p>
    <w:p>
      <w:pPr>
        <w:pStyle w:val="645"/>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45"/>
        <w:jc w:val="center"/>
        <w:spacing w:beforeAutospacing="0" w:afterAutospacing="0"/>
        <w:rPr>
          <w:rFonts w:hint="eastAsia" w:ascii="宋体" w:hAnsi="宋体" w:eastAsia="宋体" w:cs="宋体"/>
          <w:b/>
          <w:color w:val="000000"/>
          <w:sz w:val="72"/>
          <w:szCs w:val="72"/>
          <w:highlight w:val="none"/>
        </w:rPr>
      </w:pPr>
      <w:r/>
      <w:bookmarkStart w:id="187" w:name="_Hlt26671244"/>
      <w:r/>
      <w:bookmarkEnd w:id="187"/>
      <w:r/>
      <w:bookmarkStart w:id="188" w:name="_Hlt26955039"/>
      <w:r/>
      <w:bookmarkEnd w:id="188"/>
      <w:r/>
      <w:bookmarkStart w:id="189" w:name="_Toc26554094"/>
      <w:r/>
      <w:bookmarkEnd w:id="189"/>
      <w:r/>
      <w:bookmarkStart w:id="190" w:name="_Toc49090576"/>
      <w:r/>
      <w:bookmarkStart w:id="191" w:name="_Toc120614282"/>
      <w:r/>
      <w:r/>
    </w:p>
    <w:p>
      <w:pPr>
        <w:pStyle w:val="64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4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45"/>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45"/>
        <w:jc w:val="center"/>
        <w:spacing w:beforeAutospacing="0" w:afterAutospacing="0"/>
        <w:rPr>
          <w:highlight w:val="none"/>
        </w:rPr>
      </w:pPr>
      <w:r>
        <w:rPr>
          <w:highlight w:val="none"/>
        </w:rPr>
        <w:t xml:space="preserve"> </w:t>
      </w:r>
      <w:r/>
    </w:p>
    <w:p>
      <w:pPr>
        <w:pStyle w:val="645"/>
        <w:jc w:val="center"/>
        <w:spacing w:beforeAutospacing="0" w:afterAutospacing="0"/>
        <w:rPr>
          <w:highlight w:val="none"/>
        </w:rPr>
      </w:pPr>
      <w:r>
        <w:rPr>
          <w:highlight w:val="none"/>
        </w:rPr>
        <w:t xml:space="preserve"> </w:t>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r>
      <w:r/>
    </w:p>
    <w:p>
      <w:pPr>
        <w:pStyle w:val="645"/>
        <w:jc w:val="center"/>
        <w:spacing w:beforeAutospacing="0" w:afterAutospacing="0"/>
        <w:rPr>
          <w:highlight w:val="none"/>
        </w:rPr>
      </w:pPr>
      <w:r>
        <w:rPr>
          <w:highlight w:val="none"/>
        </w:rPr>
        <w:t xml:space="preserve"> </w:t>
      </w:r>
      <w:r/>
    </w:p>
    <w:p>
      <w:pPr>
        <w:pStyle w:val="645"/>
        <w:jc w:val="center"/>
        <w:spacing w:beforeAutospacing="0" w:afterAutospacing="0"/>
        <w:rPr>
          <w:highlight w:val="none"/>
        </w:rPr>
      </w:pPr>
      <w:r>
        <w:rPr>
          <w:highlight w:val="none"/>
        </w:rPr>
        <w:t xml:space="preserve"> </w:t>
      </w:r>
      <w:r/>
    </w:p>
    <w:p>
      <w:pPr>
        <w:pStyle w:val="645"/>
        <w:jc w:val="center"/>
        <w:spacing w:beforeAutospacing="0" w:afterAutospacing="0"/>
        <w:rPr>
          <w:highlight w:val="none"/>
        </w:rPr>
      </w:pPr>
      <w:r>
        <w:rPr>
          <w:highlight w:val="none"/>
        </w:rPr>
        <w:t xml:space="preserve"> </w:t>
      </w:r>
      <w:r/>
    </w:p>
    <w:p>
      <w:pPr>
        <w:pStyle w:val="64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4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45"/>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4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both"/>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jc w:val="center"/>
        <w:spacing w:beforeAutospacing="0" w:afterAutospacing="0" w:line="0" w:lineRule="atLeast"/>
        <w:rPr>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45"/>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45"/>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投标文件目录</w:t>
      </w:r>
      <w:r/>
    </w:p>
    <w:p>
      <w:pPr>
        <w:pStyle w:val="645"/>
        <w:jc w:val="center"/>
        <w:spacing w:beforeAutospacing="0" w:afterAutospacing="0" w:line="0" w:lineRule="atLeast"/>
        <w:rPr>
          <w:highlight w:val="none"/>
        </w:rPr>
      </w:pPr>
      <w:r>
        <w:rPr>
          <w:highlight w:val="none"/>
        </w:rPr>
        <w:t xml:space="preserve"> </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一、开标一览表（以系统固定格式为准）</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二、资格审查资料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（2）上一年度的财务状况报告（至少提供资产负债表、利润表、现金流量表，投标人成立不满一年无需提供）。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（5）参加政府采购活动前3年内在经营活动中没有重大违法记录的书面声明。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（7）投标人为被授权人缴纳的社会养老保险证明。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（8）与资格审查有关的其他资料（如有）。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三、符合性资料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（1）投标分项报价表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（2）投标函</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（3）技术要求响应及偏离表</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（4）商务要求响应及偏离表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（5）服务承诺</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（6）盐城市政府采购事前信用承诺书</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四、综合评审评分项相关资料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五、价格折扣文件</w:t>
      </w:r>
      <w:r>
        <w:rPr>
          <w:rFonts w:hint="eastAsia" w:ascii="宋体" w:hAnsi="宋体" w:eastAsia="宋体" w:cs="宋体"/>
          <w:color w:val="auto"/>
          <w:sz w:val="24"/>
          <w:szCs w:val="24"/>
          <w:highlight w:val="none"/>
          <w:lang w:val="en-US" w:eastAsia="zh-CN"/>
        </w:rPr>
        <w:t xml:space="preserve">(中小企业声明函、残疾人福利性单位声明函、监狱企业的证明文件）</w:t>
      </w:r>
      <w:r/>
    </w:p>
    <w:p>
      <w:pPr>
        <w:pStyle w:val="64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4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jc w:val="center"/>
        <w:rPr>
          <w:rFonts w:hint="eastAsia" w:ascii="黑体" w:eastAsia="黑体"/>
          <w:b/>
          <w:bCs/>
          <w:color w:val="auto"/>
          <w:sz w:val="32"/>
          <w:szCs w:val="32"/>
          <w:highlight w:val="none"/>
        </w:rPr>
      </w:pPr>
      <w:r/>
      <w:bookmarkStart w:id="192" w:name="_格式3__银行出具的资信证明"/>
      <w:r/>
      <w:bookmarkStart w:id="193" w:name="_Hlt26671380"/>
      <w:r/>
      <w:bookmarkStart w:id="194" w:name="_Hlt26955070"/>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jc w:val="right"/>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640"/>
        <w:ind w:firstLine="0"/>
        <w:rPr>
          <w:rFonts w:hint="eastAsia"/>
          <w:color w:val="auto"/>
          <w:highlight w:val="none"/>
        </w:rPr>
      </w:pPr>
      <w:r>
        <w:rPr>
          <w:rFonts w:hint="eastAsia"/>
          <w:color w:val="auto"/>
          <w:highlight w:val="none"/>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rPr>
        <w:t xml:space="preserve">________________（被授权人的姓名）为</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highlight w:val="none"/>
        </w:rPr>
        <w:t xml:space="preserve">以本单位名义全权处理一切与该项目采购有关的事务。</w:t>
      </w:r>
      <w:r/>
    </w:p>
    <w:p>
      <w:pPr>
        <w:pStyle w:val="65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657"/>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657"/>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657"/>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657"/>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657"/>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657"/>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640"/>
        <w:spacing w:line="48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p>
    <w:p>
      <w:pPr>
        <w:pStyle w:val="645"/>
        <w:jc w:val="center"/>
        <w:spacing w:beforeAutospacing="0" w:afterAutospacing="0"/>
        <w:rPr>
          <w:rFonts w:hint="default"/>
          <w:color w:val="auto"/>
          <w:highlight w:val="none"/>
          <w:lang w:val="en-US"/>
        </w:rPr>
      </w:pPr>
      <w:r>
        <w:rPr>
          <w:rFonts w:hint="eastAsia" w:ascii="黑体" w:hAnsi="Times New Roman" w:eastAsia="黑体" w:cs="Times New Roman"/>
          <w:b/>
          <w:bCs/>
          <w:color w:val="auto"/>
          <w:sz w:val="32"/>
          <w:szCs w:val="32"/>
          <w:highlight w:val="none"/>
          <w:lang w:val="en-US" w:eastAsia="zh-CN" w:bidi="ar-SA"/>
        </w:rPr>
        <w:t xml:space="preserve">5.开标一览表（以系统固定格式为准）</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3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45"/>
        <w:jc w:val="both"/>
        <w:spacing w:beforeAutospacing="0" w:afterAutospacing="0"/>
        <w:rPr>
          <w:color w:val="auto"/>
          <w:highlight w:val="none"/>
        </w:rPr>
      </w:pPr>
      <w:r>
        <w:rPr>
          <w:color w:val="auto"/>
          <w:highlight w:val="none"/>
        </w:rPr>
        <w:t xml:space="preserve"> </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45"/>
        <w:ind w:firstLine="480"/>
        <w:jc w:val="both"/>
        <w:spacing w:beforeAutospacing="0" w:afterAutospacing="0"/>
        <w:rPr>
          <w:highlight w:val="none"/>
        </w:rPr>
      </w:pPr>
      <w:r>
        <w:rPr>
          <w:highlight w:val="none"/>
        </w:rPr>
        <w:t xml:space="preserve"> </w:t>
      </w:r>
      <w:r/>
    </w:p>
    <w:p>
      <w:pPr>
        <w:jc w:val="right"/>
        <w:rPr>
          <w:rFonts w:ascii="仿宋" w:eastAsia="仿宋"/>
          <w:color w:val="auto"/>
          <w:sz w:val="24"/>
          <w:highlight w:val="none"/>
        </w:rPr>
        <w:outlineLvl w:val="1"/>
      </w:pPr>
      <w:r>
        <w:rPr>
          <w:rFonts w:ascii="仿宋" w:eastAsia="仿宋"/>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 xml:space="preserve">6.投标分项报价表（分包号：**）</w:t>
      </w:r>
      <w:r/>
    </w:p>
    <w:tbl>
      <w:tblPr>
        <w:tblStyle w:val="63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both"/>
              <w:spacing w:beforeAutospacing="0" w:afterAutospacing="0" w:line="0" w:lineRule="atLeast"/>
              <w:rPr>
                <w:highlight w:val="none"/>
              </w:rPr>
            </w:pPr>
            <w:r>
              <w:rPr>
                <w:highlight w:val="none"/>
              </w:rPr>
              <w:t xml:space="preserve"> </w:t>
            </w:r>
            <w:r/>
          </w:p>
        </w:tc>
      </w:tr>
    </w:tbl>
    <w:p>
      <w:pPr>
        <w:pStyle w:val="64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64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pStyle w:val="64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649"/>
        <w:ind w:firstLine="0"/>
        <w:spacing w:before="0" w:after="0" w:line="42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p>
    <w:p>
      <w:pPr>
        <w:pStyle w:val="649"/>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64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320000-***</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64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64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64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64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64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64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64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我方将根据招标文件的规定，严格履行合同的责任和义务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并保证在招标文件规定的时间完成项目，交付买方验收、使用。</w:t>
      </w:r>
      <w:r/>
    </w:p>
    <w:p>
      <w:pPr>
        <w:pStyle w:val="64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645"/>
        <w:jc w:val="center"/>
        <w:spacing w:beforeAutospacing="0" w:afterAutospacing="0"/>
        <w:rPr>
          <w:highlight w:val="none"/>
        </w:rPr>
      </w:pPr>
      <w:r>
        <w:rPr>
          <w:rFonts w:hint="eastAsia" w:ascii="黑体" w:hAnsi="Times New Roman" w:eastAsia="黑体" w:cs="Times New Roman"/>
          <w:b/>
          <w:bCs/>
          <w:color w:val="auto"/>
          <w:sz w:val="32"/>
          <w:szCs w:val="32"/>
          <w:highlight w:val="none"/>
          <w:lang w:val="en-US" w:eastAsia="zh-CN"/>
        </w:rPr>
        <w:t xml:space="preserve">8.</w:t>
      </w:r>
      <w:r>
        <w:rPr>
          <w:rFonts w:hint="eastAsia" w:ascii="黑体" w:hAnsi="宋体" w:eastAsia="黑体" w:cs="黑体"/>
          <w:b/>
          <w:color w:val="000000"/>
          <w:sz w:val="32"/>
          <w:szCs w:val="32"/>
          <w:highlight w:val="none"/>
        </w:rPr>
        <w:t xml:space="preserve">技术要求响应及偏离表（分包号：**）</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4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t xml:space="preserve"> </w:t>
            </w:r>
            <w:r/>
          </w:p>
        </w:tc>
      </w:tr>
    </w:tbl>
    <w:p>
      <w:pPr>
        <w:pStyle w:val="64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45"/>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45"/>
        <w:jc w:val="center"/>
        <w:spacing w:beforeAutospacing="0" w:afterAutospacing="0"/>
        <w:rPr>
          <w:rFonts w:hint="eastAsia" w:ascii="黑体" w:hAnsi="宋体" w:eastAsia="黑体" w:cs="黑体"/>
          <w:b/>
          <w:bCs/>
          <w:color w:val="000000"/>
          <w:sz w:val="32"/>
          <w:szCs w:val="32"/>
          <w:highlight w:val="none"/>
        </w:rPr>
      </w:pPr>
      <w:r>
        <w:rPr>
          <w:rFonts w:hint="eastAsia" w:ascii="黑体" w:hAnsi="Times New Roman" w:eastAsia="黑体" w:cs="Times New Roman"/>
          <w:b/>
          <w:bCs/>
          <w:color w:val="auto"/>
          <w:sz w:val="32"/>
          <w:szCs w:val="32"/>
          <w:highlight w:val="none"/>
          <w:lang w:val="en-US" w:eastAsia="zh-CN"/>
        </w:rPr>
        <w:t xml:space="preserve">9.</w:t>
      </w:r>
      <w:r>
        <w:rPr>
          <w:rFonts w:hint="eastAsia" w:ascii="黑体" w:hAnsi="宋体" w:eastAsia="黑体" w:cs="黑体"/>
          <w:b/>
          <w:color w:val="000000"/>
          <w:sz w:val="32"/>
          <w:szCs w:val="32"/>
          <w:highlight w:val="none"/>
        </w:rPr>
        <w:t xml:space="preserve">商务要求响应及偏离表（分包号：**）</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4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t xml:space="preserve"> </w:t>
            </w:r>
            <w:r/>
          </w:p>
        </w:tc>
      </w:tr>
    </w:tbl>
    <w:p>
      <w:pPr>
        <w:pStyle w:val="64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45"/>
        <w:jc w:val="both"/>
        <w:spacing w:beforeAutospacing="0" w:afterAutospacing="0" w:line="480" w:lineRule="auto"/>
        <w:rPr>
          <w:highlight w:val="none"/>
        </w:rPr>
      </w:pPr>
      <w:r>
        <w:rPr>
          <w:highlight w:val="none"/>
        </w:rPr>
      </w:r>
      <w:r/>
    </w:p>
    <w:p>
      <w:pPr>
        <w:pStyle w:val="645"/>
        <w:jc w:val="both"/>
        <w:spacing w:beforeAutospacing="0" w:afterAutospacing="0" w:line="480" w:lineRule="auto"/>
        <w:rPr>
          <w:highlight w:val="none"/>
        </w:rPr>
      </w:pPr>
      <w:r>
        <w:rPr>
          <w:highlight w:val="none"/>
        </w:rPr>
      </w:r>
      <w:r/>
    </w:p>
    <w:p>
      <w:pPr>
        <w:pStyle w:val="645"/>
        <w:jc w:val="both"/>
        <w:spacing w:beforeAutospacing="0" w:afterAutospacing="0" w:line="480" w:lineRule="auto"/>
        <w:rPr>
          <w:highlight w:val="none"/>
        </w:rPr>
      </w:pPr>
      <w:r>
        <w:rPr>
          <w:highlight w:val="none"/>
        </w:rPr>
      </w:r>
      <w:r/>
    </w:p>
    <w:p>
      <w:pPr>
        <w:pStyle w:val="645"/>
        <w:jc w:val="both"/>
        <w:spacing w:beforeAutospacing="0" w:afterAutospacing="0" w:line="480" w:lineRule="auto"/>
        <w:rPr>
          <w:color w:val="auto"/>
          <w:highlight w:val="none"/>
        </w:rPr>
      </w:pPr>
      <w:r>
        <w:rPr>
          <w:color w:val="auto"/>
          <w:highlight w:val="non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10.服  务  承  诺（分包号：**）</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645"/>
        <w:jc w:val="center"/>
        <w:spacing w:beforeAutospacing="0" w:afterAutospacing="0" w:line="0" w:lineRule="atLeast"/>
        <w:rPr>
          <w:color w:val="auto"/>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江苏瑞杰项目管理顾问有限公司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45"/>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4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645"/>
        <w:ind w:firstLine="24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45"/>
        <w:ind w:firstLine="480"/>
        <w:jc w:val="both"/>
        <w:spacing w:before="0" w:beforeAutospacing="0" w:after="0" w:afterAutospacing="0" w:line="360" w:lineRule="auto"/>
        <w:widowControl w:val="off"/>
        <w:rPr>
          <w:highlight w:val="none"/>
        </w:rPr>
      </w:pPr>
      <w:r>
        <w:rPr>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45"/>
        <w:jc w:val="center"/>
        <w:spacing w:beforeAutospacing="0" w:afterAutospacing="0" w:line="0" w:lineRule="atLeast"/>
        <w:rPr>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12.</w:t>
      </w:r>
      <w:r>
        <w:rPr>
          <w:rFonts w:hint="eastAsia" w:ascii="黑体" w:hAnsi="宋体" w:eastAsia="黑体" w:cs="黑体"/>
          <w:b/>
          <w:color w:val="000000"/>
          <w:sz w:val="32"/>
          <w:szCs w:val="32"/>
          <w:highlight w:val="none"/>
        </w:rPr>
        <w:t xml:space="preserve">残疾人福利性单位声明函（分包号：**）</w:t>
      </w:r>
      <w:r/>
    </w:p>
    <w:p>
      <w:pPr>
        <w:pStyle w:val="64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4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45"/>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4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45"/>
        <w:ind w:right="1560" w:firstLine="624"/>
        <w:jc w:val="center"/>
        <w:spacing w:beforeAutospacing="0" w:afterAutospacing="0" w:line="0" w:lineRule="atLeast"/>
        <w:tabs>
          <w:tab w:val="left" w:pos="4864" w:leader="none"/>
        </w:tabs>
        <w:rPr>
          <w:rFonts w:ascii="宋体" w:eastAsia="宋体" w:cs="宋体"/>
          <w:color w:val="000000"/>
          <w:sz w:val="30"/>
          <w:szCs w:val="30"/>
          <w:highlight w:val="none"/>
        </w:rPr>
      </w:pPr>
      <w:r>
        <w:rPr>
          <w:rFonts w:ascii="宋体" w:eastAsia="宋体" w:cs="宋体"/>
          <w:color w:val="000000"/>
          <w:sz w:val="30"/>
          <w:szCs w:val="30"/>
          <w:highlight w:val="none"/>
        </w:rPr>
      </w:r>
      <w:r/>
    </w:p>
    <w:p>
      <w:pPr>
        <w:pStyle w:val="645"/>
        <w:ind w:right="1560" w:firstLine="624"/>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5"/>
        <w:ind w:right="1560" w:firstLine="624"/>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64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45"/>
        <w:ind w:right="1560" w:firstLine="480"/>
        <w:jc w:val="center"/>
        <w:spacing w:beforeAutospacing="0" w:afterAutospacing="0" w:line="0" w:lineRule="atLeast"/>
        <w:tabs>
          <w:tab w:val="left" w:pos="4864" w:leader="none"/>
        </w:tabs>
        <w:rPr>
          <w:highlight w:val="none"/>
        </w:rPr>
      </w:pPr>
      <w:r>
        <w:rPr>
          <w:highlight w:val="none"/>
        </w:rPr>
      </w:r>
      <w:r/>
    </w:p>
    <w:p>
      <w:pPr>
        <w:pStyle w:val="645"/>
        <w:jc w:val="center"/>
        <w:spacing w:beforeAutospacing="0" w:afterAutospacing="0" w:line="0" w:lineRule="atLeast"/>
        <w:rPr>
          <w:highlight w:val="none"/>
        </w:rPr>
      </w:pPr>
      <w:r>
        <w:rPr>
          <w:highlight w:val="none"/>
        </w:rPr>
        <w:t xml:space="preserve"> </w:t>
      </w:r>
      <w:r/>
    </w:p>
    <w:p>
      <w:pPr>
        <w:jc w:val="center"/>
        <w:spacing w:line="499" w:lineRule="atLeast"/>
        <w:widowControl/>
        <w:rPr>
          <w:rFonts w:ascii="宋体" w:hAnsi="宋体" w:eastAsia="宋体" w:cs="宋体"/>
          <w:b/>
          <w:bCs/>
          <w:sz w:val="24"/>
          <w:highlight w:val="none"/>
        </w:rPr>
      </w:pPr>
      <w:r>
        <w:rPr>
          <w:rFonts w:hint="eastAsia" w:ascii="宋体" w:hAnsi="宋体" w:eastAsia="宋体" w:cs="宋体"/>
          <w:b/>
          <w:color w:val="000000"/>
          <w:highlight w:val="none"/>
        </w:rPr>
        <w:br w:type="page" w:clear="all"/>
      </w:r>
      <w:bookmarkStart w:id="195" w:name="_Toc462564146"/>
      <w:r/>
      <w:bookmarkStart w:id="196" w:name="_格式2__法定代表人授权书"/>
      <w:r/>
      <w:bookmarkStart w:id="197" w:name="_Hlt26609389"/>
      <w:r/>
      <w:bookmarkStart w:id="198" w:name="_Hlt26955066"/>
      <w:r/>
      <w:bookmarkStart w:id="199" w:name="_Hlt26955054"/>
      <w:r/>
      <w:bookmarkStart w:id="200" w:name="_Hlt26671374"/>
      <w:r>
        <w:rPr>
          <w:rFonts w:hint="eastAsia" w:ascii="宋体" w:hAnsi="宋体" w:eastAsia="宋体" w:cs="宋体"/>
          <w:b/>
          <w:bCs/>
          <w:color w:val="000000"/>
          <w:sz w:val="32"/>
          <w:szCs w:val="32"/>
          <w:highlight w:val="none"/>
          <w:lang w:val="en-US" w:eastAsia="zh-CN"/>
        </w:rPr>
        <w:t xml:space="preserve">13.</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ascii="宋体" w:hAnsi="宋体" w:eastAsia="宋体" w:cs="宋体"/>
          <w:sz w:val="24"/>
          <w:highlight w:val="none"/>
        </w:rPr>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576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w:t>
      </w:r>
      <w:r/>
    </w:p>
    <w:p>
      <w:pPr>
        <w:ind w:firstLine="576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p>
    <w:p>
      <w:pPr>
        <w:ind w:firstLine="576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645"/>
        <w:jc w:val="center"/>
        <w:spacing w:beforeAutospacing="0" w:afterAutospacing="0"/>
        <w:rPr>
          <w:highlight w:val="none"/>
        </w:rPr>
      </w:pPr>
      <w:r>
        <w:rPr>
          <w:highlight w:val="none"/>
        </w:r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3"/>
      <w:bookmarkEnd w:id="190"/>
      <w:bookmarkEnd w:id="191"/>
      <w:bookmarkEnd w:id="192"/>
      <w:bookmarkEnd w:id="193"/>
      <w:bookmarkEnd w:id="194"/>
      <w:bookmarkEnd w:id="195"/>
      <w:bookmarkEnd w:id="196"/>
      <w:bookmarkEnd w:id="197"/>
      <w:bookmarkEnd w:id="198"/>
      <w:bookmarkEnd w:id="199"/>
      <w:bookmarkEnd w:id="200"/>
      <w:r/>
    </w:p>
    <w:p>
      <w:pPr>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4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4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4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4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4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5"/>
    <w:next w:val="6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7"/>
    <w:link w:val="12"/>
    <w:uiPriority w:val="9"/>
    <w:rPr>
      <w:rFonts w:ascii="Arial" w:hAnsi="Arial" w:eastAsia="Arial" w:cs="Arial"/>
      <w:sz w:val="40"/>
      <w:szCs w:val="40"/>
    </w:rPr>
  </w:style>
  <w:style w:type="character" w:styleId="15">
    <w:name w:val="Heading 2 Char"/>
    <w:basedOn w:val="637"/>
    <w:link w:val="636"/>
    <w:uiPriority w:val="9"/>
    <w:rPr>
      <w:rFonts w:ascii="Arial" w:hAnsi="Arial" w:eastAsia="Arial" w:cs="Arial"/>
      <w:sz w:val="34"/>
    </w:rPr>
  </w:style>
  <w:style w:type="paragraph" w:styleId="16">
    <w:name w:val="Heading 3"/>
    <w:basedOn w:val="635"/>
    <w:next w:val="6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7"/>
    <w:link w:val="16"/>
    <w:uiPriority w:val="9"/>
    <w:rPr>
      <w:rFonts w:ascii="Arial" w:hAnsi="Arial" w:eastAsia="Arial" w:cs="Arial"/>
      <w:sz w:val="30"/>
      <w:szCs w:val="30"/>
    </w:rPr>
  </w:style>
  <w:style w:type="paragraph" w:styleId="18">
    <w:name w:val="Heading 4"/>
    <w:basedOn w:val="635"/>
    <w:next w:val="6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7"/>
    <w:link w:val="18"/>
    <w:uiPriority w:val="9"/>
    <w:rPr>
      <w:rFonts w:ascii="Arial" w:hAnsi="Arial" w:eastAsia="Arial" w:cs="Arial"/>
      <w:b/>
      <w:bCs/>
      <w:sz w:val="26"/>
      <w:szCs w:val="26"/>
    </w:rPr>
  </w:style>
  <w:style w:type="paragraph" w:styleId="20">
    <w:name w:val="Heading 5"/>
    <w:basedOn w:val="635"/>
    <w:next w:val="6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7"/>
    <w:link w:val="20"/>
    <w:uiPriority w:val="9"/>
    <w:rPr>
      <w:rFonts w:ascii="Arial" w:hAnsi="Arial" w:eastAsia="Arial" w:cs="Arial"/>
      <w:b/>
      <w:bCs/>
      <w:sz w:val="24"/>
      <w:szCs w:val="24"/>
    </w:rPr>
  </w:style>
  <w:style w:type="paragraph" w:styleId="22">
    <w:name w:val="Heading 6"/>
    <w:basedOn w:val="635"/>
    <w:next w:val="6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7"/>
    <w:link w:val="22"/>
    <w:uiPriority w:val="9"/>
    <w:rPr>
      <w:rFonts w:ascii="Arial" w:hAnsi="Arial" w:eastAsia="Arial" w:cs="Arial"/>
      <w:b/>
      <w:bCs/>
      <w:sz w:val="22"/>
      <w:szCs w:val="22"/>
    </w:rPr>
  </w:style>
  <w:style w:type="paragraph" w:styleId="24">
    <w:name w:val="Heading 7"/>
    <w:basedOn w:val="635"/>
    <w:next w:val="6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7"/>
    <w:link w:val="24"/>
    <w:uiPriority w:val="9"/>
    <w:rPr>
      <w:rFonts w:ascii="Arial" w:hAnsi="Arial" w:eastAsia="Arial" w:cs="Arial"/>
      <w:b/>
      <w:bCs/>
      <w:i/>
      <w:iCs/>
      <w:sz w:val="22"/>
      <w:szCs w:val="22"/>
    </w:rPr>
  </w:style>
  <w:style w:type="paragraph" w:styleId="26">
    <w:name w:val="Heading 8"/>
    <w:basedOn w:val="635"/>
    <w:next w:val="6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7"/>
    <w:link w:val="26"/>
    <w:uiPriority w:val="9"/>
    <w:rPr>
      <w:rFonts w:ascii="Arial" w:hAnsi="Arial" w:eastAsia="Arial" w:cs="Arial"/>
      <w:i/>
      <w:iCs/>
      <w:sz w:val="22"/>
      <w:szCs w:val="22"/>
    </w:rPr>
  </w:style>
  <w:style w:type="paragraph" w:styleId="28">
    <w:name w:val="Heading 9"/>
    <w:basedOn w:val="635"/>
    <w:next w:val="6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5"/>
    <w:next w:val="635"/>
    <w:link w:val="34"/>
    <w:uiPriority w:val="10"/>
    <w:qFormat/>
    <w:pPr>
      <w:contextualSpacing/>
      <w:spacing w:before="300" w:after="200"/>
    </w:pPr>
    <w:rPr>
      <w:sz w:val="48"/>
      <w:szCs w:val="48"/>
    </w:rPr>
  </w:style>
  <w:style w:type="character" w:styleId="34">
    <w:name w:val="Title Char"/>
    <w:basedOn w:val="637"/>
    <w:link w:val="33"/>
    <w:uiPriority w:val="10"/>
    <w:rPr>
      <w:sz w:val="48"/>
      <w:szCs w:val="48"/>
    </w:rPr>
  </w:style>
  <w:style w:type="paragraph" w:styleId="35">
    <w:name w:val="Subtitle"/>
    <w:basedOn w:val="635"/>
    <w:next w:val="635"/>
    <w:link w:val="36"/>
    <w:uiPriority w:val="11"/>
    <w:qFormat/>
    <w:pPr>
      <w:spacing w:before="200" w:after="200"/>
    </w:pPr>
    <w:rPr>
      <w:sz w:val="24"/>
      <w:szCs w:val="24"/>
    </w:rPr>
  </w:style>
  <w:style w:type="character" w:styleId="36">
    <w:name w:val="Subtitle Char"/>
    <w:basedOn w:val="637"/>
    <w:link w:val="35"/>
    <w:uiPriority w:val="11"/>
    <w:rPr>
      <w:sz w:val="24"/>
      <w:szCs w:val="24"/>
    </w:rPr>
  </w:style>
  <w:style w:type="paragraph" w:styleId="37">
    <w:name w:val="Quote"/>
    <w:basedOn w:val="635"/>
    <w:next w:val="635"/>
    <w:link w:val="38"/>
    <w:uiPriority w:val="29"/>
    <w:qFormat/>
    <w:pPr>
      <w:ind w:left="720" w:right="720"/>
    </w:pPr>
    <w:rPr>
      <w:i/>
    </w:rPr>
  </w:style>
  <w:style w:type="character" w:styleId="38">
    <w:name w:val="Quote Char"/>
    <w:link w:val="37"/>
    <w:uiPriority w:val="29"/>
    <w:rPr>
      <w:i/>
    </w:rPr>
  </w:style>
  <w:style w:type="paragraph" w:styleId="39">
    <w:name w:val="Intense Quote"/>
    <w:basedOn w:val="635"/>
    <w:next w:val="6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7"/>
    <w:link w:val="644"/>
    <w:uiPriority w:val="99"/>
  </w:style>
  <w:style w:type="character" w:styleId="44">
    <w:name w:val="Footer Char"/>
    <w:basedOn w:val="637"/>
    <w:link w:val="643"/>
    <w:uiPriority w:val="99"/>
  </w:style>
  <w:style w:type="paragraph" w:styleId="45">
    <w:name w:val="Caption"/>
    <w:basedOn w:val="635"/>
    <w:next w:val="635"/>
    <w:uiPriority w:val="35"/>
    <w:semiHidden/>
    <w:unhideWhenUsed/>
    <w:qFormat/>
    <w:pPr>
      <w:spacing w:line="276" w:lineRule="auto"/>
    </w:pPr>
    <w:rPr>
      <w:b/>
      <w:bCs/>
      <w:color w:val="4f81bd" w:themeColor="accent1"/>
      <w:sz w:val="18"/>
      <w:szCs w:val="18"/>
    </w:rPr>
  </w:style>
  <w:style w:type="character" w:styleId="46">
    <w:name w:val="Caption Char"/>
    <w:basedOn w:val="45"/>
    <w:link w:val="643"/>
    <w:uiPriority w:val="99"/>
  </w:style>
  <w:style w:type="table" w:styleId="48">
    <w:name w:val="Table Grid Light"/>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7"/>
    <w:uiPriority w:val="99"/>
    <w:unhideWhenUsed/>
    <w:rPr>
      <w:vertAlign w:val="superscript"/>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7"/>
    <w:uiPriority w:val="99"/>
    <w:semiHidden/>
    <w:unhideWhenUsed/>
    <w:rPr>
      <w:vertAlign w:val="superscript"/>
    </w:rPr>
  </w:style>
  <w:style w:type="paragraph" w:styleId="180">
    <w:name w:val="toc 1"/>
    <w:basedOn w:val="635"/>
    <w:next w:val="635"/>
    <w:uiPriority w:val="39"/>
    <w:unhideWhenUsed/>
    <w:pPr>
      <w:ind w:left="0" w:right="0" w:firstLine="0"/>
      <w:spacing w:after="57"/>
    </w:pPr>
  </w:style>
  <w:style w:type="paragraph" w:styleId="181">
    <w:name w:val="toc 2"/>
    <w:basedOn w:val="635"/>
    <w:next w:val="635"/>
    <w:uiPriority w:val="39"/>
    <w:unhideWhenUsed/>
    <w:pPr>
      <w:ind w:left="283" w:right="0" w:firstLine="0"/>
      <w:spacing w:after="57"/>
    </w:pPr>
  </w:style>
  <w:style w:type="paragraph" w:styleId="182">
    <w:name w:val="toc 3"/>
    <w:basedOn w:val="635"/>
    <w:next w:val="635"/>
    <w:uiPriority w:val="39"/>
    <w:unhideWhenUsed/>
    <w:pPr>
      <w:ind w:left="567" w:right="0" w:firstLine="0"/>
      <w:spacing w:after="57"/>
    </w:pPr>
  </w:style>
  <w:style w:type="paragraph" w:styleId="183">
    <w:name w:val="toc 4"/>
    <w:basedOn w:val="635"/>
    <w:next w:val="635"/>
    <w:uiPriority w:val="39"/>
    <w:unhideWhenUsed/>
    <w:pPr>
      <w:ind w:left="850" w:right="0" w:firstLine="0"/>
      <w:spacing w:after="57"/>
    </w:pPr>
  </w:style>
  <w:style w:type="paragraph" w:styleId="184">
    <w:name w:val="toc 5"/>
    <w:basedOn w:val="635"/>
    <w:next w:val="635"/>
    <w:uiPriority w:val="39"/>
    <w:unhideWhenUsed/>
    <w:pPr>
      <w:ind w:left="1134" w:right="0" w:firstLine="0"/>
      <w:spacing w:after="57"/>
    </w:pPr>
  </w:style>
  <w:style w:type="paragraph" w:styleId="185">
    <w:name w:val="toc 6"/>
    <w:basedOn w:val="635"/>
    <w:next w:val="635"/>
    <w:uiPriority w:val="39"/>
    <w:unhideWhenUsed/>
    <w:pPr>
      <w:ind w:left="1417" w:right="0" w:firstLine="0"/>
      <w:spacing w:after="57"/>
    </w:pPr>
  </w:style>
  <w:style w:type="paragraph" w:styleId="186">
    <w:name w:val="toc 7"/>
    <w:basedOn w:val="635"/>
    <w:next w:val="635"/>
    <w:uiPriority w:val="39"/>
    <w:unhideWhenUsed/>
    <w:pPr>
      <w:ind w:left="1701" w:right="0" w:firstLine="0"/>
      <w:spacing w:after="57"/>
    </w:pPr>
  </w:style>
  <w:style w:type="paragraph" w:styleId="187">
    <w:name w:val="toc 8"/>
    <w:basedOn w:val="635"/>
    <w:next w:val="635"/>
    <w:uiPriority w:val="39"/>
    <w:unhideWhenUsed/>
    <w:pPr>
      <w:ind w:left="1984" w:right="0" w:firstLine="0"/>
      <w:spacing w:after="57"/>
    </w:pPr>
  </w:style>
  <w:style w:type="paragraph" w:styleId="188">
    <w:name w:val="toc 9"/>
    <w:basedOn w:val="635"/>
    <w:next w:val="6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next w:val="639"/>
    <w:link w:val="65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6">
    <w:name w:val="Heading 2"/>
    <w:basedOn w:val="635"/>
    <w:next w:val="63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customStyle="1">
    <w:name w:val="Default"/>
    <w:basedOn w:val="635"/>
    <w:uiPriority w:val="0"/>
    <w:semiHidden/>
    <w:qFormat/>
    <w:pPr>
      <w:jc w:val="left"/>
    </w:pPr>
    <w:rPr>
      <w:rFonts w:ascii="宋体" w:hAnsi="Calibri" w:cs="宋体"/>
      <w:color w:val="000000"/>
      <w:sz w:val="24"/>
    </w:rPr>
  </w:style>
  <w:style w:type="paragraph" w:styleId="640">
    <w:name w:val="Normal Indent"/>
    <w:basedOn w:val="635"/>
    <w:uiPriority w:val="0"/>
    <w:qFormat/>
    <w:pPr>
      <w:ind w:firstLine="420"/>
    </w:pPr>
  </w:style>
  <w:style w:type="paragraph" w:styleId="641">
    <w:name w:val="annotation text"/>
    <w:basedOn w:val="635"/>
    <w:uiPriority w:val="0"/>
    <w:qFormat/>
    <w:pPr>
      <w:jc w:val="left"/>
    </w:pPr>
  </w:style>
  <w:style w:type="paragraph" w:styleId="642">
    <w:name w:val="Body Text"/>
    <w:basedOn w:val="635"/>
    <w:uiPriority w:val="0"/>
    <w:qFormat/>
    <w:rPr>
      <w:rFonts w:ascii="宋体" w:hAnsi="Arial" w:eastAsia="宋体"/>
      <w:sz w:val="28"/>
      <w:szCs w:val="20"/>
    </w:rPr>
  </w:style>
  <w:style w:type="paragraph" w:styleId="643">
    <w:name w:val="Footer"/>
    <w:basedOn w:val="635"/>
    <w:link w:val="648"/>
    <w:uiPriority w:val="0"/>
    <w:qFormat/>
    <w:pPr>
      <w:jc w:val="left"/>
      <w:tabs>
        <w:tab w:val="center" w:pos="4153" w:leader="none"/>
        <w:tab w:val="right" w:pos="8306" w:leader="none"/>
      </w:tabs>
    </w:pPr>
    <w:rPr>
      <w:sz w:val="18"/>
      <w:szCs w:val="18"/>
    </w:rPr>
  </w:style>
  <w:style w:type="paragraph" w:styleId="644">
    <w:name w:val="Header"/>
    <w:basedOn w:val="635"/>
    <w:link w:val="647"/>
    <w:uiPriority w:val="0"/>
    <w:qFormat/>
    <w:pPr>
      <w:jc w:val="center"/>
      <w:tabs>
        <w:tab w:val="center" w:pos="4153" w:leader="none"/>
        <w:tab w:val="right" w:pos="8306" w:leader="none"/>
      </w:tabs>
      <w:pBdr>
        <w:bottom w:val="single" w:color="auto" w:sz="6" w:space="1"/>
      </w:pBdr>
    </w:pPr>
    <w:rPr>
      <w:sz w:val="18"/>
      <w:szCs w:val="18"/>
    </w:rPr>
  </w:style>
  <w:style w:type="paragraph" w:styleId="645">
    <w:name w:val="Normal (Web)"/>
    <w:basedOn w:val="635"/>
    <w:uiPriority w:val="0"/>
    <w:qFormat/>
    <w:pPr>
      <w:jc w:val="left"/>
      <w:spacing w:beforeAutospacing="1" w:afterAutospacing="1"/>
    </w:pPr>
    <w:rPr>
      <w:rFonts w:cs="Times New Roman"/>
      <w:sz w:val="24"/>
    </w:rPr>
  </w:style>
  <w:style w:type="table" w:styleId="646">
    <w:name w:val="Table Grid"/>
    <w:basedOn w:val="638"/>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7" w:customStyle="1">
    <w:name w:val="页眉 Char"/>
    <w:basedOn w:val="637"/>
    <w:link w:val="644"/>
    <w:uiPriority w:val="0"/>
    <w:qFormat/>
    <w:rPr>
      <w:rFonts w:asciiTheme="minorHAnsi" w:hAnsiTheme="minorHAnsi" w:eastAsiaTheme="minorEastAsia" w:cstheme="minorBidi"/>
      <w:sz w:val="18"/>
      <w:szCs w:val="18"/>
    </w:rPr>
  </w:style>
  <w:style w:type="character" w:styleId="648" w:customStyle="1">
    <w:name w:val="页脚 Char"/>
    <w:basedOn w:val="637"/>
    <w:link w:val="643"/>
    <w:uiPriority w:val="0"/>
    <w:qFormat/>
    <w:rPr>
      <w:rFonts w:asciiTheme="minorHAnsi" w:hAnsiTheme="minorHAnsi" w:eastAsiaTheme="minorEastAsia" w:cstheme="minorBidi"/>
      <w:sz w:val="18"/>
      <w:szCs w:val="18"/>
    </w:rPr>
  </w:style>
  <w:style w:type="paragraph" w:styleId="649" w:customStyle="1">
    <w:name w:val="普通正文"/>
    <w:basedOn w:val="635"/>
    <w:uiPriority w:val="0"/>
    <w:qFormat/>
    <w:pPr>
      <w:ind w:firstLine="480"/>
      <w:jc w:val="left"/>
      <w:spacing w:before="120" w:after="120" w:line="360" w:lineRule="auto"/>
    </w:pPr>
    <w:rPr>
      <w:rFonts w:ascii="Arial" w:hAnsi="Arial" w:eastAsia="等线" w:cs="Arial"/>
      <w:sz w:val="24"/>
      <w:szCs w:val="24"/>
    </w:rPr>
  </w:style>
  <w:style w:type="paragraph" w:styleId="650" w:customStyle="1">
    <w:name w:val="正文首行缩进 21"/>
    <w:basedOn w:val="651"/>
    <w:uiPriority w:val="0"/>
    <w:qFormat/>
    <w:pPr>
      <w:ind w:firstLine="420"/>
    </w:pPr>
  </w:style>
  <w:style w:type="paragraph" w:styleId="651" w:customStyle="1">
    <w:name w:val="正文文本缩进 New"/>
    <w:basedOn w:val="652"/>
    <w:next w:val="653"/>
    <w:uiPriority w:val="0"/>
    <w:qFormat/>
    <w:pPr>
      <w:ind w:left="420"/>
      <w:spacing w:after="120"/>
    </w:pPr>
    <w:rPr>
      <w:rFonts w:ascii="Times New Roman" w:hAnsi="Times New Roman" w:eastAsia="宋体" w:cs="Times New Roman"/>
    </w:rPr>
  </w:style>
  <w:style w:type="paragraph" w:styleId="652" w:customStyle="1">
    <w:name w:val="正文 New"/>
    <w:next w:val="650"/>
    <w:uiPriority w:val="0"/>
    <w:qFormat/>
    <w:pPr>
      <w:jc w:val="both"/>
      <w:widowControl w:val="off"/>
    </w:pPr>
    <w:rPr>
      <w:rFonts w:ascii="Times New Roman" w:hAnsi="Times New Roman" w:eastAsia="宋体" w:cs="Times New Roman"/>
      <w:sz w:val="21"/>
      <w:szCs w:val="22"/>
      <w:lang w:val="en-US" w:eastAsia="zh-CN" w:bidi="ar-SA"/>
    </w:rPr>
  </w:style>
  <w:style w:type="paragraph" w:styleId="653" w:customStyle="1">
    <w:name w:val="寄信人地址 New"/>
    <w:basedOn w:val="652"/>
    <w:uiPriority w:val="0"/>
    <w:qFormat/>
    <w:rPr>
      <w:rFonts w:ascii="Arial" w:hAnsi="Arial" w:eastAsia="宋体" w:cs="Times New Roman"/>
    </w:rPr>
  </w:style>
  <w:style w:type="paragraph" w:styleId="654" w:customStyle="1">
    <w:name w:val="正文文本缩进1"/>
    <w:basedOn w:val="635"/>
    <w:uiPriority w:val="0"/>
    <w:qFormat/>
    <w:pPr>
      <w:ind w:left="420"/>
      <w:spacing w:after="120"/>
    </w:pPr>
  </w:style>
  <w:style w:type="character" w:styleId="655" w:customStyle="1">
    <w:name w:val="NormalCharacter"/>
    <w:link w:val="635"/>
    <w:uiPriority w:val="0"/>
    <w:qFormat/>
    <w:rPr>
      <w:rFonts w:asciiTheme="minorHAnsi" w:hAnsiTheme="minorHAnsi" w:eastAsiaTheme="minorEastAsia" w:cstheme="minorBidi"/>
      <w:sz w:val="21"/>
      <w:szCs w:val="24"/>
      <w:lang w:val="en-US" w:eastAsia="zh-CN" w:bidi="ar-SA"/>
    </w:rPr>
  </w:style>
  <w:style w:type="paragraph" w:styleId="656">
    <w:name w:val="List Paragraph"/>
    <w:basedOn w:val="635"/>
    <w:uiPriority w:val="34"/>
    <w:qFormat/>
    <w:pPr>
      <w:ind w:firstLine="420"/>
    </w:pPr>
  </w:style>
  <w:style w:type="paragraph" w:styleId="657" w:customStyle="1">
    <w:name w:val="Char"/>
    <w:basedOn w:val="635"/>
    <w:uiPriority w:val="0"/>
    <w:qFormat/>
    <w:pPr>
      <w:ind w:firstLine="200"/>
      <w:tabs>
        <w:tab w:val="left" w:pos="360" w:leader="none"/>
      </w:tabs>
    </w:pPr>
    <w:rPr>
      <w:sz w:val="28"/>
      <w:szCs w:val="30"/>
    </w:rPr>
  </w:style>
  <w:style w:type="numbering" w:styleId="76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273</cp:revision>
  <dcterms:created xsi:type="dcterms:W3CDTF">2014-10-29T12:08:00Z</dcterms:created>
  <dcterms:modified xsi:type="dcterms:W3CDTF">2025-11-04T03:08:55Z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803A3B1F5580470F86837A55C3D86243_13</vt:lpwstr>
  </property>
  <property fmtid="{D5CDD505-2E9C-101B-9397-08002B2CF9AE}" pid="4" name="KSOTemplateDocerSaveRecord">
    <vt:lpwstr>eyJoZGlkIjoiMzkzOGU5NzBjOGYwNGQ5NTM3OTRkYjk1MzkxZTk1YjkiLCJ1c2VySWQiOiIxMDA3NjMzOSJ9</vt:lpwstr>
  </property>
</Properties>
</file>